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color w:val="auto"/>
          <w:sz w:val="44"/>
          <w:szCs w:val="44"/>
          <w:lang w:val="en-US" w:eastAsia="zh-CN"/>
        </w:rPr>
      </w:pPr>
    </w:p>
    <w:p>
      <w:pPr>
        <w:pStyle w:val="2"/>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color w:val="auto"/>
          <w:sz w:val="44"/>
          <w:szCs w:val="44"/>
          <w:lang w:val="en-US" w:eastAsia="zh-CN"/>
        </w:rPr>
      </w:pPr>
      <w:r>
        <w:rPr>
          <w:rFonts w:hint="eastAsia" w:ascii="方正小标宋简体" w:hAnsi="方正小标宋简体" w:eastAsia="方正小标宋简体" w:cs="方正小标宋简体"/>
          <w:b/>
          <w:color w:val="auto"/>
          <w:sz w:val="44"/>
          <w:szCs w:val="44"/>
          <w:lang w:val="en-US" w:eastAsia="zh-CN"/>
        </w:rPr>
        <w:t>微山县统计局</w:t>
      </w:r>
    </w:p>
    <w:p>
      <w:pPr>
        <w:pStyle w:val="2"/>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202</w:t>
      </w:r>
      <w:r>
        <w:rPr>
          <w:rFonts w:hint="eastAsia" w:ascii="方正小标宋简体" w:hAnsi="方正小标宋简体" w:eastAsia="方正小标宋简体" w:cs="方正小标宋简体"/>
          <w:b/>
          <w:color w:val="auto"/>
          <w:sz w:val="44"/>
          <w:szCs w:val="44"/>
          <w:lang w:val="en-US" w:eastAsia="zh-CN"/>
        </w:rPr>
        <w:t>2</w:t>
      </w:r>
      <w:r>
        <w:rPr>
          <w:rFonts w:hint="eastAsia" w:ascii="方正小标宋简体" w:hAnsi="方正小标宋简体" w:eastAsia="方正小标宋简体" w:cs="方正小标宋简体"/>
          <w:b/>
          <w:color w:val="auto"/>
          <w:sz w:val="44"/>
          <w:szCs w:val="44"/>
        </w:rPr>
        <w:t>年政府信息公开工作年度报告</w:t>
      </w:r>
    </w:p>
    <w:p>
      <w:pPr>
        <w:pStyle w:val="2"/>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420"/>
        <w:jc w:val="center"/>
        <w:textAlignment w:val="auto"/>
        <w:rPr>
          <w:rFonts w:hint="eastAsia" w:ascii="方正小标宋简体" w:hAnsi="方正小标宋简体" w:eastAsia="方正小标宋简体" w:cs="方正小标宋简体"/>
          <w:b/>
          <w:color w:val="auto"/>
          <w:sz w:val="44"/>
          <w:szCs w:val="44"/>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r>
        <w:rPr>
          <w:rFonts w:hint="eastAsia" w:ascii="仿宋" w:hAnsi="仿宋" w:eastAsia="仿宋" w:cs="仿宋"/>
          <w:b/>
          <w:bCs/>
          <w:i w:val="0"/>
          <w:caps w:val="0"/>
          <w:color w:val="auto"/>
          <w:spacing w:val="0"/>
          <w:sz w:val="32"/>
          <w:szCs w:val="32"/>
          <w:shd w:val="clear" w:color="auto" w:fill="FFFFFF"/>
          <w:lang w:val="en-US" w:eastAsia="zh-CN"/>
        </w:rPr>
        <w:t>本报告由微山县统计局按照《中华人民共和国政府信息公开条例》（以下简称《条例》）和《中华人民共和国政府信息公开工作年度报告格式》（国办公开办函〔2021〕30号）要求编制。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r>
        <w:rPr>
          <w:rFonts w:hint="eastAsia" w:ascii="仿宋" w:hAnsi="仿宋" w:eastAsia="仿宋" w:cs="仿宋"/>
          <w:b/>
          <w:bCs/>
          <w:i w:val="0"/>
          <w:caps w:val="0"/>
          <w:color w:val="auto"/>
          <w:spacing w:val="0"/>
          <w:sz w:val="32"/>
          <w:szCs w:val="32"/>
          <w:shd w:val="clear" w:color="auto" w:fill="FFFFFF"/>
          <w:lang w:val="en-US" w:eastAsia="zh-CN"/>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r>
        <w:rPr>
          <w:rFonts w:hint="eastAsia" w:ascii="仿宋" w:hAnsi="仿宋" w:eastAsia="仿宋" w:cs="仿宋"/>
          <w:b/>
          <w:bCs/>
          <w:i w:val="0"/>
          <w:caps w:val="0"/>
          <w:color w:val="auto"/>
          <w:spacing w:val="0"/>
          <w:sz w:val="32"/>
          <w:szCs w:val="32"/>
          <w:shd w:val="clear" w:color="auto" w:fill="FFFFFF"/>
          <w:lang w:val="en-US" w:eastAsia="zh-CN"/>
        </w:rPr>
        <w:t>本报告所列数据的统计期限自2022年1月1日起至2022年12月31日止。本报告电子版可在微山县政府门户网站（http://www.weishan.gov.cn/）查阅或下载。如对报告有疑问，请与微山县统计局联系（地址：微山县昭阳湖路9号创达商务大厦C座三楼，联系电话：0537-8229307）</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textAlignment w:val="auto"/>
        <w:rPr>
          <w:rFonts w:hint="eastAsia" w:ascii="黑体" w:hAnsi="黑体" w:eastAsia="黑体" w:cs="黑体"/>
          <w:b/>
          <w:bCs/>
          <w:i w:val="0"/>
          <w:caps w:val="0"/>
          <w:color w:val="auto"/>
          <w:spacing w:val="0"/>
          <w:sz w:val="32"/>
          <w:szCs w:val="32"/>
          <w:shd w:val="clear" w:color="auto" w:fill="FFFFFF"/>
        </w:rPr>
      </w:pPr>
      <w:r>
        <w:rPr>
          <w:rFonts w:hint="eastAsia" w:ascii="黑体" w:hAnsi="黑体" w:eastAsia="黑体" w:cs="黑体"/>
          <w:b/>
          <w:bCs/>
          <w:i w:val="0"/>
          <w:caps w:val="0"/>
          <w:color w:val="auto"/>
          <w:spacing w:val="0"/>
          <w:sz w:val="32"/>
          <w:szCs w:val="32"/>
          <w:shd w:val="clear" w:color="auto" w:fill="FFFFFF"/>
          <w:lang w:eastAsia="zh-CN"/>
        </w:rPr>
        <w:t>一、</w:t>
      </w:r>
      <w:r>
        <w:rPr>
          <w:rFonts w:hint="eastAsia" w:ascii="黑体" w:hAnsi="黑体" w:eastAsia="黑体" w:cs="黑体"/>
          <w:b/>
          <w:bCs/>
          <w:i w:val="0"/>
          <w:caps w:val="0"/>
          <w:color w:val="auto"/>
          <w:spacing w:val="0"/>
          <w:sz w:val="32"/>
          <w:szCs w:val="32"/>
          <w:shd w:val="clear" w:color="auto" w:fill="FFFFFF"/>
        </w:rPr>
        <w:t>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left="0" w:right="0" w:firstLine="634"/>
        <w:jc w:val="both"/>
        <w:textAlignment w:val="auto"/>
        <w:rPr>
          <w:rFonts w:hint="eastAsia" w:ascii="仿宋" w:hAnsi="仿宋" w:eastAsia="仿宋" w:cs="仿宋"/>
          <w:b/>
          <w:bCs/>
          <w:i w:val="0"/>
          <w:caps w:val="0"/>
          <w:color w:val="auto"/>
          <w:spacing w:val="0"/>
          <w:sz w:val="32"/>
          <w:szCs w:val="32"/>
          <w:shd w:val="clear" w:color="auto" w:fill="FFFFFF"/>
          <w:lang w:val="en-US" w:eastAsia="zh-CN"/>
        </w:rPr>
      </w:pPr>
      <w:r>
        <w:rPr>
          <w:rFonts w:hint="eastAsia" w:ascii="仿宋" w:hAnsi="仿宋" w:eastAsia="仿宋" w:cs="仿宋"/>
          <w:b/>
          <w:bCs/>
          <w:i w:val="0"/>
          <w:caps w:val="0"/>
          <w:color w:val="auto"/>
          <w:spacing w:val="0"/>
          <w:sz w:val="32"/>
          <w:szCs w:val="32"/>
          <w:shd w:val="clear" w:color="auto" w:fill="FFFFFF"/>
          <w:lang w:val="en-US" w:eastAsia="zh-CN"/>
        </w:rPr>
        <w:t>2022年，县统计局深入贯彻落实《中华人民共和国政府信息公开条例》，加强组织领导，以县统计局政务公开工作领导小组为主体，积极推动政府信息公开工作。及时、准确地公开统计领域信息，助力政府信息公开平台建设，依法保障公众获取信息的权利，进一步提升统计服务水平。</w:t>
      </w:r>
    </w:p>
    <w:p>
      <w:pPr>
        <w:pStyle w:val="2"/>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jc w:val="both"/>
        <w:textAlignment w:val="auto"/>
        <w:rPr>
          <w:rFonts w:hint="eastAsia" w:ascii="楷体" w:hAnsi="楷体" w:eastAsia="楷体" w:cs="楷体"/>
          <w:b/>
          <w:bCs/>
          <w:i w:val="0"/>
          <w:caps w:val="0"/>
          <w:color w:val="auto"/>
          <w:spacing w:val="0"/>
          <w:sz w:val="32"/>
          <w:szCs w:val="32"/>
          <w:shd w:val="clear" w:color="auto" w:fill="FFFFFF"/>
          <w:lang w:val="en-US" w:eastAsia="zh-CN"/>
        </w:rPr>
      </w:pPr>
      <w:r>
        <w:rPr>
          <w:rFonts w:hint="eastAsia" w:ascii="楷体" w:hAnsi="楷体" w:eastAsia="楷体" w:cs="楷体"/>
          <w:b/>
          <w:bCs/>
          <w:i w:val="0"/>
          <w:caps w:val="0"/>
          <w:color w:val="auto"/>
          <w:spacing w:val="0"/>
          <w:sz w:val="32"/>
          <w:szCs w:val="32"/>
          <w:shd w:val="clear" w:color="auto" w:fill="FFFFFF"/>
          <w:lang w:val="en-US" w:eastAsia="zh-CN"/>
        </w:rPr>
        <w:t>主动公开情况</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r>
        <w:rPr>
          <w:rFonts w:hint="eastAsia" w:ascii="仿宋" w:hAnsi="仿宋" w:eastAsia="仿宋" w:cs="仿宋"/>
          <w:b/>
          <w:bCs/>
          <w:i w:val="0"/>
          <w:caps w:val="0"/>
          <w:color w:val="auto"/>
          <w:spacing w:val="0"/>
          <w:sz w:val="32"/>
          <w:szCs w:val="32"/>
          <w:shd w:val="clear" w:color="auto" w:fill="FFFFFF"/>
          <w:lang w:val="en-US" w:eastAsia="zh-CN"/>
        </w:rPr>
        <w:t>2022年，县统计局紧紧围绕县委、县政府中心开展工作，分解落实政务公开重点工作任务，平稳有序地推进政府信息公开工作，不断扩大主动公开范围，在服务微山经济高质量发展、提升政府信息公信力、维护群众知情权等方面发挥了积极作用。2022年共主动公开信息42条，其中会议公开25条、统计信息9条、行政权力4条、政府集中采购1条，信息公开组织管理3条。</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jc w:val="center"/>
        <w:textAlignment w:val="auto"/>
        <w:rPr>
          <w:rFonts w:hint="eastAsia" w:ascii="仿宋" w:hAnsi="仿宋" w:eastAsia="仿宋" w:cs="仿宋"/>
          <w:b/>
          <w:bCs/>
          <w:i w:val="0"/>
          <w:caps w:val="0"/>
          <w:color w:val="auto"/>
          <w:spacing w:val="0"/>
          <w:sz w:val="32"/>
          <w:szCs w:val="32"/>
          <w:shd w:val="clear" w:color="auto" w:fill="FFFFFF"/>
          <w:lang w:val="en-US" w:eastAsia="zh-CN"/>
        </w:rPr>
      </w:pPr>
      <w:r>
        <w:rPr>
          <w:rFonts w:hint="eastAsia" w:ascii="仿宋" w:hAnsi="仿宋" w:eastAsia="仿宋" w:cs="仿宋"/>
          <w:b/>
          <w:bCs/>
          <w:i w:val="0"/>
          <w:caps w:val="0"/>
          <w:color w:val="auto"/>
          <w:spacing w:val="0"/>
          <w:sz w:val="32"/>
          <w:szCs w:val="32"/>
          <w:shd w:val="clear" w:color="auto" w:fill="FFFFFF"/>
          <w:lang w:val="en-US" w:eastAsia="zh-CN"/>
        </w:rPr>
        <w:drawing>
          <wp:inline distT="0" distB="0" distL="114300" distR="114300">
            <wp:extent cx="5272405" cy="3797300"/>
            <wp:effectExtent l="0" t="0" r="0" b="0"/>
            <wp:docPr id="1" name="图片 1" descr="主动公开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主动公开情况"/>
                    <pic:cNvPicPr>
                      <a:picLocks noChangeAspect="1"/>
                    </pic:cNvPicPr>
                  </pic:nvPicPr>
                  <pic:blipFill>
                    <a:blip r:embed="rId4"/>
                    <a:stretch>
                      <a:fillRect/>
                    </a:stretch>
                  </pic:blipFill>
                  <pic:spPr>
                    <a:xfrm>
                      <a:off x="0" y="0"/>
                      <a:ext cx="5272405" cy="3797300"/>
                    </a:xfrm>
                    <a:prstGeom prst="rect">
                      <a:avLst/>
                    </a:prstGeom>
                  </pic:spPr>
                </pic:pic>
              </a:graphicData>
            </a:graphic>
          </wp:inline>
        </w:drawing>
      </w:r>
    </w:p>
    <w:p>
      <w:pPr>
        <w:pStyle w:val="2"/>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left="0" w:leftChars="0" w:right="0" w:firstLine="643" w:firstLineChars="200"/>
        <w:jc w:val="both"/>
        <w:textAlignment w:val="auto"/>
        <w:rPr>
          <w:rFonts w:hint="eastAsia" w:ascii="楷体" w:hAnsi="楷体" w:eastAsia="楷体" w:cs="楷体"/>
          <w:b/>
          <w:bCs/>
          <w:i w:val="0"/>
          <w:caps w:val="0"/>
          <w:color w:val="auto"/>
          <w:spacing w:val="0"/>
          <w:sz w:val="32"/>
          <w:szCs w:val="32"/>
          <w:shd w:val="clear" w:color="auto" w:fill="FFFFFF"/>
          <w:lang w:val="en-US" w:eastAsia="zh-CN"/>
        </w:rPr>
      </w:pPr>
      <w:r>
        <w:rPr>
          <w:rFonts w:hint="eastAsia" w:ascii="楷体" w:hAnsi="楷体" w:eastAsia="楷体" w:cs="楷体"/>
          <w:b/>
          <w:bCs/>
          <w:i w:val="0"/>
          <w:caps w:val="0"/>
          <w:color w:val="auto"/>
          <w:spacing w:val="0"/>
          <w:sz w:val="32"/>
          <w:szCs w:val="32"/>
          <w:shd w:val="clear" w:color="auto" w:fill="FFFFFF"/>
          <w:lang w:val="en-US" w:eastAsia="zh-CN"/>
        </w:rPr>
        <w:t>依申请公开情况</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r>
        <w:rPr>
          <w:rFonts w:hint="eastAsia" w:ascii="仿宋" w:hAnsi="仿宋" w:eastAsia="仿宋" w:cs="仿宋"/>
          <w:b/>
          <w:bCs/>
          <w:i w:val="0"/>
          <w:caps w:val="0"/>
          <w:color w:val="auto"/>
          <w:spacing w:val="0"/>
          <w:sz w:val="32"/>
          <w:szCs w:val="32"/>
          <w:shd w:val="clear" w:color="auto" w:fill="FFFFFF"/>
          <w:lang w:val="en-US" w:eastAsia="zh-CN"/>
        </w:rPr>
        <w:t>2022年，县统计局共收到依申请公开2条，已按照相关程序在规定的时间内予以答复</w:t>
      </w:r>
      <w:bookmarkStart w:id="10" w:name="_GoBack"/>
      <w:bookmarkEnd w:id="10"/>
      <w:r>
        <w:rPr>
          <w:rFonts w:hint="eastAsia" w:ascii="仿宋" w:hAnsi="仿宋" w:eastAsia="仿宋" w:cs="仿宋"/>
          <w:b/>
          <w:bCs/>
          <w:i w:val="0"/>
          <w:caps w:val="0"/>
          <w:color w:val="auto"/>
          <w:spacing w:val="0"/>
          <w:sz w:val="32"/>
          <w:szCs w:val="32"/>
          <w:shd w:val="clear" w:color="auto" w:fill="FFFFFF"/>
          <w:lang w:val="en-US" w:eastAsia="zh-CN"/>
        </w:rPr>
        <w:t>。</w:t>
      </w:r>
    </w:p>
    <w:p>
      <w:pPr>
        <w:pStyle w:val="2"/>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left="0" w:leftChars="0" w:right="0" w:firstLine="643" w:firstLineChars="200"/>
        <w:jc w:val="both"/>
        <w:textAlignment w:val="auto"/>
        <w:rPr>
          <w:rFonts w:hint="eastAsia" w:ascii="楷体" w:hAnsi="楷体" w:eastAsia="楷体" w:cs="楷体"/>
          <w:b/>
          <w:bCs/>
          <w:i w:val="0"/>
          <w:caps w:val="0"/>
          <w:color w:val="auto"/>
          <w:spacing w:val="0"/>
          <w:sz w:val="32"/>
          <w:szCs w:val="32"/>
          <w:shd w:val="clear" w:color="auto" w:fill="FFFFFF"/>
          <w:lang w:val="en-US" w:eastAsia="zh-CN"/>
        </w:rPr>
      </w:pPr>
      <w:r>
        <w:rPr>
          <w:rFonts w:hint="eastAsia" w:ascii="楷体" w:hAnsi="楷体" w:eastAsia="楷体" w:cs="楷体"/>
          <w:b/>
          <w:bCs/>
          <w:i w:val="0"/>
          <w:caps w:val="0"/>
          <w:color w:val="auto"/>
          <w:spacing w:val="0"/>
          <w:sz w:val="32"/>
          <w:szCs w:val="32"/>
          <w:shd w:val="clear" w:color="auto" w:fill="FFFFFF"/>
          <w:lang w:val="en-US" w:eastAsia="zh-CN"/>
        </w:rPr>
        <w:t>政府信息管理情况</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jc w:val="both"/>
        <w:textAlignment w:val="auto"/>
        <w:rPr>
          <w:rFonts w:hint="default" w:ascii="仿宋" w:hAnsi="仿宋" w:eastAsia="仿宋" w:cs="仿宋"/>
          <w:b/>
          <w:bCs/>
          <w:i w:val="0"/>
          <w:caps w:val="0"/>
          <w:color w:val="auto"/>
          <w:spacing w:val="0"/>
          <w:sz w:val="32"/>
          <w:szCs w:val="32"/>
          <w:shd w:val="clear" w:color="auto" w:fill="FFFFFF"/>
          <w:lang w:val="en-US" w:eastAsia="zh-CN"/>
        </w:rPr>
      </w:pPr>
      <w:r>
        <w:rPr>
          <w:rFonts w:hint="eastAsia" w:ascii="仿宋" w:hAnsi="仿宋" w:eastAsia="仿宋" w:cs="仿宋"/>
          <w:b/>
          <w:bCs/>
          <w:i w:val="0"/>
          <w:caps w:val="0"/>
          <w:color w:val="auto"/>
          <w:spacing w:val="0"/>
          <w:sz w:val="32"/>
          <w:szCs w:val="32"/>
          <w:shd w:val="clear" w:color="auto" w:fill="FFFFFF"/>
          <w:lang w:val="en-US" w:eastAsia="zh-CN"/>
        </w:rPr>
        <w:t>县统计局严格执行《条例》有关规定，将政府信息公开工作纳入党组专题研究，规范信息公开程序，按照《微山县统计局公文审批单》进行审批，严格落实《微山县统计局政府信息公开保密审查制度》，切实维护好政府信息公开主阵地。</w:t>
      </w:r>
    </w:p>
    <w:p>
      <w:pPr>
        <w:pStyle w:val="2"/>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left="0" w:leftChars="0" w:right="0" w:firstLine="643" w:firstLineChars="200"/>
        <w:jc w:val="both"/>
        <w:textAlignment w:val="auto"/>
        <w:rPr>
          <w:rFonts w:hint="eastAsia" w:ascii="楷体" w:hAnsi="楷体" w:eastAsia="楷体" w:cs="楷体"/>
          <w:b/>
          <w:bCs/>
          <w:i w:val="0"/>
          <w:caps w:val="0"/>
          <w:color w:val="auto"/>
          <w:spacing w:val="0"/>
          <w:sz w:val="32"/>
          <w:szCs w:val="32"/>
          <w:shd w:val="clear" w:color="auto" w:fill="FFFFFF"/>
          <w:lang w:val="en-US" w:eastAsia="zh-CN"/>
        </w:rPr>
      </w:pPr>
      <w:r>
        <w:rPr>
          <w:rFonts w:hint="eastAsia" w:ascii="楷体" w:hAnsi="楷体" w:eastAsia="楷体" w:cs="楷体"/>
          <w:b/>
          <w:bCs/>
          <w:i w:val="0"/>
          <w:caps w:val="0"/>
          <w:color w:val="auto"/>
          <w:spacing w:val="0"/>
          <w:sz w:val="32"/>
          <w:szCs w:val="32"/>
          <w:shd w:val="clear" w:color="auto" w:fill="FFFFFF"/>
          <w:lang w:val="en-US" w:eastAsia="zh-CN"/>
        </w:rPr>
        <w:t>政府信息公开平台建设情况</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r>
        <w:rPr>
          <w:rFonts w:hint="eastAsia" w:ascii="仿宋" w:hAnsi="仿宋" w:eastAsia="仿宋" w:cs="仿宋"/>
          <w:b/>
          <w:bCs/>
          <w:i w:val="0"/>
          <w:caps w:val="0"/>
          <w:color w:val="auto"/>
          <w:spacing w:val="0"/>
          <w:sz w:val="32"/>
          <w:szCs w:val="32"/>
          <w:shd w:val="clear" w:color="auto" w:fill="FFFFFF"/>
          <w:lang w:val="en-US" w:eastAsia="zh-CN"/>
        </w:rPr>
        <w:t>以县政府门户网站为载体，严格按照政务公开重点工作任务分解制定工作台账，及时进行政府信息公开。结合统计领域基层政务公开标准目录、2022年度微山县统计局主动公开基本目录，发布统计相关数据及解读分析，不断提升统计服务效能。</w:t>
      </w:r>
    </w:p>
    <w:p>
      <w:pPr>
        <w:pStyle w:val="2"/>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left="0" w:leftChars="0" w:right="0" w:firstLine="643" w:firstLineChars="200"/>
        <w:jc w:val="both"/>
        <w:textAlignment w:val="auto"/>
        <w:rPr>
          <w:rFonts w:hint="eastAsia" w:ascii="楷体" w:hAnsi="楷体" w:eastAsia="楷体" w:cs="楷体"/>
          <w:b/>
          <w:bCs/>
          <w:i w:val="0"/>
          <w:caps w:val="0"/>
          <w:color w:val="auto"/>
          <w:spacing w:val="0"/>
          <w:sz w:val="32"/>
          <w:szCs w:val="32"/>
          <w:shd w:val="clear" w:color="auto" w:fill="FFFFFF"/>
          <w:lang w:val="en-US" w:eastAsia="zh-CN"/>
        </w:rPr>
      </w:pPr>
      <w:r>
        <w:rPr>
          <w:rFonts w:hint="eastAsia" w:ascii="楷体" w:hAnsi="楷体" w:eastAsia="楷体" w:cs="楷体"/>
          <w:b/>
          <w:bCs/>
          <w:i w:val="0"/>
          <w:caps w:val="0"/>
          <w:color w:val="auto"/>
          <w:spacing w:val="0"/>
          <w:sz w:val="32"/>
          <w:szCs w:val="32"/>
          <w:shd w:val="clear" w:color="auto" w:fill="FFFFFF"/>
          <w:lang w:val="en-US" w:eastAsia="zh-CN"/>
        </w:rPr>
        <w:t>监督保障情况</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r>
        <w:rPr>
          <w:rFonts w:hint="eastAsia" w:ascii="仿宋" w:hAnsi="仿宋" w:eastAsia="仿宋" w:cs="仿宋"/>
          <w:b/>
          <w:bCs/>
          <w:i w:val="0"/>
          <w:caps w:val="0"/>
          <w:color w:val="auto"/>
          <w:spacing w:val="0"/>
          <w:sz w:val="32"/>
          <w:szCs w:val="32"/>
          <w:shd w:val="clear" w:color="auto" w:fill="FFFFFF"/>
          <w:lang w:val="en-US" w:eastAsia="zh-CN"/>
        </w:rPr>
        <w:t>县统计局将政府信息公开工作纳入年度考核，并在日常中严格执行信息公开制度，保障信息公开的及时性、准确性。同时开展政府信息公开内部人员培训，确保政府信息公开工作扎实推进。</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textAlignment w:val="auto"/>
        <w:rPr>
          <w:rFonts w:hint="eastAsia" w:ascii="黑体" w:hAnsi="黑体" w:eastAsia="黑体" w:cs="黑体"/>
          <w:b/>
          <w:bCs/>
          <w:i w:val="0"/>
          <w:caps w:val="0"/>
          <w:color w:val="auto"/>
          <w:spacing w:val="0"/>
          <w:sz w:val="32"/>
          <w:szCs w:val="32"/>
          <w:shd w:val="clear" w:color="auto" w:fill="FFFFFF"/>
        </w:rPr>
      </w:pPr>
      <w:r>
        <w:rPr>
          <w:rFonts w:hint="eastAsia" w:ascii="黑体" w:hAnsi="黑体" w:eastAsia="黑体" w:cs="黑体"/>
          <w:b/>
          <w:bCs/>
          <w:i w:val="0"/>
          <w:caps w:val="0"/>
          <w:color w:val="auto"/>
          <w:spacing w:val="0"/>
          <w:sz w:val="32"/>
          <w:szCs w:val="32"/>
          <w:shd w:val="clear" w:color="auto" w:fill="FFFFFF"/>
          <w:lang w:eastAsia="zh-CN"/>
        </w:rPr>
        <w:t>二、主动公开政府信息情况</w:t>
      </w:r>
    </w:p>
    <w:tbl>
      <w:tblPr>
        <w:tblStyle w:val="3"/>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06"/>
        <w:gridCol w:w="2206"/>
        <w:gridCol w:w="2206"/>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824"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文星仿宋" w:cs="Times New Roman"/>
                <w:b/>
                <w:color w:val="000000"/>
                <w:sz w:val="28"/>
                <w:szCs w:val="28"/>
              </w:rPr>
            </w:pPr>
            <w:r>
              <w:rPr>
                <w:rFonts w:hint="default" w:ascii="Times New Roman" w:hAnsi="Times New Roman" w:eastAsia="文星楷体" w:cs="Times New Roman"/>
                <w:b/>
                <w:color w:val="000000"/>
                <w:sz w:val="28"/>
                <w:szCs w:val="28"/>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信息内容</w:t>
            </w:r>
          </w:p>
        </w:tc>
        <w:tc>
          <w:tcPr>
            <w:tcW w:w="22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本年制发件数</w:t>
            </w:r>
          </w:p>
        </w:tc>
        <w:tc>
          <w:tcPr>
            <w:tcW w:w="22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本年废止件数</w:t>
            </w:r>
          </w:p>
        </w:tc>
        <w:tc>
          <w:tcPr>
            <w:tcW w:w="22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规章</w:t>
            </w:r>
          </w:p>
        </w:tc>
        <w:tc>
          <w:tcPr>
            <w:tcW w:w="22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文星仿宋" w:cs="Times New Roman"/>
                <w:b/>
                <w:color w:val="000000"/>
                <w:sz w:val="28"/>
                <w:szCs w:val="28"/>
                <w:lang w:val="en-US" w:eastAsia="zh-CN"/>
              </w:rPr>
            </w:pPr>
            <w:r>
              <w:rPr>
                <w:rFonts w:hint="eastAsia" w:ascii="Times New Roman" w:hAnsi="Times New Roman" w:eastAsia="文星仿宋" w:cs="Times New Roman"/>
                <w:b/>
                <w:color w:val="000000"/>
                <w:sz w:val="28"/>
                <w:szCs w:val="28"/>
                <w:lang w:val="en-US" w:eastAsia="zh-CN"/>
              </w:rPr>
              <w:t>0</w:t>
            </w:r>
          </w:p>
        </w:tc>
        <w:tc>
          <w:tcPr>
            <w:tcW w:w="22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文星仿宋" w:cs="Times New Roman"/>
                <w:b/>
                <w:color w:val="000000"/>
                <w:sz w:val="28"/>
                <w:szCs w:val="28"/>
                <w:lang w:val="en-US" w:eastAsia="zh-CN"/>
              </w:rPr>
            </w:pPr>
            <w:r>
              <w:rPr>
                <w:rFonts w:hint="eastAsia" w:ascii="Times New Roman" w:hAnsi="Times New Roman" w:eastAsia="文星仿宋" w:cs="Times New Roman"/>
                <w:b/>
                <w:color w:val="000000"/>
                <w:sz w:val="28"/>
                <w:szCs w:val="28"/>
                <w:lang w:val="en-US" w:eastAsia="zh-CN"/>
              </w:rPr>
              <w:t>0</w:t>
            </w:r>
          </w:p>
        </w:tc>
        <w:tc>
          <w:tcPr>
            <w:tcW w:w="22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文星仿宋" w:cs="Times New Roman"/>
                <w:b/>
                <w:color w:val="000000"/>
                <w:sz w:val="28"/>
                <w:szCs w:val="28"/>
                <w:lang w:val="en-US" w:eastAsia="zh-CN"/>
              </w:rPr>
            </w:pPr>
            <w:r>
              <w:rPr>
                <w:rFonts w:hint="eastAsia" w:ascii="Times New Roman" w:hAnsi="Times New Roman" w:eastAsia="文星仿宋" w:cs="Times New Roman"/>
                <w:b/>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行政规范性文件</w:t>
            </w:r>
          </w:p>
        </w:tc>
        <w:tc>
          <w:tcPr>
            <w:tcW w:w="22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文星仿宋" w:cs="Times New Roman"/>
                <w:b/>
                <w:color w:val="000000"/>
                <w:sz w:val="28"/>
                <w:szCs w:val="28"/>
                <w:lang w:val="en-US" w:eastAsia="zh-CN"/>
              </w:rPr>
            </w:pPr>
            <w:r>
              <w:rPr>
                <w:rFonts w:hint="eastAsia" w:ascii="Times New Roman" w:hAnsi="Times New Roman" w:eastAsia="文星仿宋" w:cs="Times New Roman"/>
                <w:b/>
                <w:color w:val="000000"/>
                <w:sz w:val="28"/>
                <w:szCs w:val="28"/>
                <w:lang w:val="en-US" w:eastAsia="zh-CN"/>
              </w:rPr>
              <w:t>0</w:t>
            </w:r>
          </w:p>
        </w:tc>
        <w:tc>
          <w:tcPr>
            <w:tcW w:w="22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文星仿宋" w:cs="Times New Roman"/>
                <w:b/>
                <w:color w:val="000000"/>
                <w:sz w:val="28"/>
                <w:szCs w:val="28"/>
                <w:lang w:val="en-US" w:eastAsia="zh-CN"/>
              </w:rPr>
            </w:pPr>
            <w:r>
              <w:rPr>
                <w:rFonts w:hint="eastAsia" w:ascii="Times New Roman" w:hAnsi="Times New Roman" w:eastAsia="文星仿宋" w:cs="Times New Roman"/>
                <w:b/>
                <w:color w:val="000000"/>
                <w:sz w:val="28"/>
                <w:szCs w:val="28"/>
                <w:lang w:val="en-US" w:eastAsia="zh-CN"/>
              </w:rPr>
              <w:t>0</w:t>
            </w:r>
          </w:p>
        </w:tc>
        <w:tc>
          <w:tcPr>
            <w:tcW w:w="22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文星仿宋" w:cs="Times New Roman"/>
                <w:b/>
                <w:color w:val="000000"/>
                <w:sz w:val="28"/>
                <w:szCs w:val="28"/>
                <w:lang w:val="en-US" w:eastAsia="zh-CN"/>
              </w:rPr>
            </w:pPr>
            <w:r>
              <w:rPr>
                <w:rFonts w:hint="eastAsia" w:ascii="Times New Roman" w:hAnsi="Times New Roman" w:eastAsia="文星仿宋" w:cs="Times New Roman"/>
                <w:b/>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4"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文星仿宋" w:cs="Times New Roman"/>
                <w:b/>
                <w:color w:val="000000"/>
                <w:sz w:val="28"/>
                <w:szCs w:val="28"/>
              </w:rPr>
            </w:pPr>
            <w:r>
              <w:rPr>
                <w:rFonts w:hint="default" w:ascii="Times New Roman" w:hAnsi="Times New Roman" w:eastAsia="文星楷体" w:cs="Times New Roman"/>
                <w:b/>
                <w:color w:val="000000"/>
                <w:sz w:val="28"/>
                <w:szCs w:val="28"/>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信息内容</w:t>
            </w:r>
          </w:p>
        </w:tc>
        <w:tc>
          <w:tcPr>
            <w:tcW w:w="6618"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行政许可</w:t>
            </w:r>
          </w:p>
        </w:tc>
        <w:tc>
          <w:tcPr>
            <w:tcW w:w="6618"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文星仿宋" w:cs="Times New Roman"/>
                <w:b/>
                <w:color w:val="000000"/>
                <w:sz w:val="28"/>
                <w:szCs w:val="28"/>
                <w:lang w:val="en-US" w:eastAsia="zh-CN"/>
              </w:rPr>
            </w:pPr>
            <w:r>
              <w:rPr>
                <w:rFonts w:hint="eastAsia" w:ascii="Times New Roman" w:hAnsi="Times New Roman" w:eastAsia="文星仿宋" w:cs="Times New Roman"/>
                <w:b/>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4"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文星仿宋" w:cs="Times New Roman"/>
                <w:b/>
                <w:color w:val="000000"/>
                <w:sz w:val="28"/>
                <w:szCs w:val="28"/>
              </w:rPr>
            </w:pPr>
            <w:r>
              <w:rPr>
                <w:rFonts w:hint="default" w:ascii="Times New Roman" w:hAnsi="Times New Roman" w:eastAsia="文星楷体" w:cs="Times New Roman"/>
                <w:b/>
                <w:color w:val="000000"/>
                <w:sz w:val="28"/>
                <w:szCs w:val="28"/>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信息内容</w:t>
            </w:r>
          </w:p>
        </w:tc>
        <w:tc>
          <w:tcPr>
            <w:tcW w:w="6618"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行政处罚</w:t>
            </w:r>
          </w:p>
        </w:tc>
        <w:tc>
          <w:tcPr>
            <w:tcW w:w="6618"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文星仿宋" w:cs="Times New Roman"/>
                <w:b/>
                <w:color w:val="000000"/>
                <w:sz w:val="28"/>
                <w:szCs w:val="28"/>
                <w:lang w:val="en-US" w:eastAsia="zh-CN"/>
              </w:rPr>
            </w:pPr>
            <w:r>
              <w:rPr>
                <w:rFonts w:hint="eastAsia" w:ascii="Times New Roman" w:hAnsi="Times New Roman" w:eastAsia="文星仿宋" w:cs="Times New Roman"/>
                <w:b/>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行政强制</w:t>
            </w:r>
          </w:p>
        </w:tc>
        <w:tc>
          <w:tcPr>
            <w:tcW w:w="6618"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文星仿宋" w:cs="Times New Roman"/>
                <w:b/>
                <w:color w:val="000000"/>
                <w:sz w:val="28"/>
                <w:szCs w:val="28"/>
                <w:lang w:val="en-US" w:eastAsia="zh-CN"/>
              </w:rPr>
            </w:pPr>
            <w:r>
              <w:rPr>
                <w:rFonts w:hint="eastAsia" w:ascii="Times New Roman" w:hAnsi="Times New Roman" w:eastAsia="文星仿宋" w:cs="Times New Roman"/>
                <w:b/>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4"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文星仿宋" w:cs="Times New Roman"/>
                <w:b/>
                <w:color w:val="000000"/>
                <w:sz w:val="28"/>
                <w:szCs w:val="28"/>
              </w:rPr>
            </w:pPr>
            <w:r>
              <w:rPr>
                <w:rFonts w:hint="default" w:ascii="Times New Roman" w:hAnsi="Times New Roman" w:eastAsia="文星楷体" w:cs="Times New Roman"/>
                <w:b/>
                <w:color w:val="000000"/>
                <w:sz w:val="28"/>
                <w:szCs w:val="28"/>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信息内容</w:t>
            </w:r>
          </w:p>
        </w:tc>
        <w:tc>
          <w:tcPr>
            <w:tcW w:w="6618"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文星楷体" w:cs="Times New Roman"/>
                <w:b/>
                <w:color w:val="000000"/>
                <w:sz w:val="28"/>
                <w:szCs w:val="28"/>
              </w:rPr>
            </w:pPr>
            <w:r>
              <w:rPr>
                <w:rFonts w:hint="default" w:ascii="Times New Roman" w:hAnsi="Times New Roman" w:eastAsia="文星仿宋" w:cs="Times New Roman"/>
                <w:b/>
                <w:color w:val="000000"/>
                <w:sz w:val="28"/>
                <w:szCs w:val="28"/>
              </w:rPr>
              <w:t>行政事业性收费</w:t>
            </w:r>
          </w:p>
        </w:tc>
        <w:tc>
          <w:tcPr>
            <w:tcW w:w="6618"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文星楷体" w:cs="Times New Roman"/>
                <w:b/>
                <w:color w:val="000000"/>
                <w:sz w:val="28"/>
                <w:szCs w:val="28"/>
                <w:lang w:val="en-US" w:eastAsia="zh-CN"/>
              </w:rPr>
            </w:pPr>
            <w:r>
              <w:rPr>
                <w:rFonts w:hint="eastAsia" w:ascii="Times New Roman" w:hAnsi="Times New Roman" w:eastAsia="文星楷体" w:cs="Times New Roman"/>
                <w:b/>
                <w:color w:val="000000"/>
                <w:sz w:val="28"/>
                <w:szCs w:val="28"/>
                <w:lang w:val="en-US" w:eastAsia="zh-CN"/>
              </w:rPr>
              <w:t>0</w:t>
            </w:r>
          </w:p>
        </w:tc>
      </w:tr>
    </w:tbl>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textAlignment w:val="auto"/>
        <w:rPr>
          <w:rFonts w:hint="eastAsia" w:ascii="黑体" w:hAnsi="黑体" w:eastAsia="黑体" w:cs="黑体"/>
          <w:b/>
          <w:bCs/>
          <w:i w:val="0"/>
          <w:caps w:val="0"/>
          <w:color w:val="auto"/>
          <w:spacing w:val="0"/>
          <w:sz w:val="32"/>
          <w:szCs w:val="32"/>
          <w:shd w:val="clear" w:color="auto" w:fill="FFFFFF"/>
          <w:lang w:eastAsia="zh-CN"/>
        </w:rPr>
      </w:pPr>
      <w:r>
        <w:rPr>
          <w:rFonts w:hint="eastAsia" w:ascii="黑体" w:hAnsi="黑体" w:eastAsia="黑体" w:cs="黑体"/>
          <w:b/>
          <w:bCs/>
          <w:i w:val="0"/>
          <w:caps w:val="0"/>
          <w:color w:val="auto"/>
          <w:spacing w:val="0"/>
          <w:sz w:val="32"/>
          <w:szCs w:val="32"/>
          <w:shd w:val="clear" w:color="auto" w:fill="FFFFFF"/>
          <w:lang w:eastAsia="zh-CN"/>
        </w:rPr>
        <w:t>三、收到和处理政府信息公开申请情况</w:t>
      </w:r>
    </w:p>
    <w:tbl>
      <w:tblPr>
        <w:tblStyle w:val="3"/>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1162"/>
        <w:gridCol w:w="2581"/>
        <w:gridCol w:w="829"/>
        <w:gridCol w:w="567"/>
        <w:gridCol w:w="567"/>
        <w:gridCol w:w="571"/>
        <w:gridCol w:w="567"/>
        <w:gridCol w:w="567"/>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restart"/>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（本列数据的勾稽关系为：第一项加第二项之和，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等于第三项加第四项之和）</w:t>
            </w:r>
          </w:p>
        </w:tc>
        <w:tc>
          <w:tcPr>
            <w:tcW w:w="4129" w:type="dxa"/>
            <w:gridSpan w:val="7"/>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文星仿宋" w:cs="Times New Roman"/>
                <w:b/>
                <w:sz w:val="28"/>
                <w:szCs w:val="28"/>
              </w:rPr>
            </w:pPr>
          </w:p>
        </w:tc>
        <w:tc>
          <w:tcPr>
            <w:tcW w:w="829" w:type="dxa"/>
            <w:vMerge w:val="restart"/>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自然人</w:t>
            </w:r>
          </w:p>
        </w:tc>
        <w:tc>
          <w:tcPr>
            <w:tcW w:w="2839" w:type="dxa"/>
            <w:gridSpan w:val="5"/>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法人或其他组织</w:t>
            </w:r>
          </w:p>
        </w:tc>
        <w:tc>
          <w:tcPr>
            <w:tcW w:w="461" w:type="dxa"/>
            <w:vMerge w:val="restart"/>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3" w:hRule="atLeast"/>
          <w:jc w:val="center"/>
        </w:trPr>
        <w:tc>
          <w:tcPr>
            <w:tcW w:w="4698" w:type="dxa"/>
            <w:gridSpan w:val="3"/>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829"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sz w:val="28"/>
                <w:szCs w:val="28"/>
              </w:rPr>
            </w:pP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106" w:leftChars="-51" w:right="-107" w:rightChars="-51" w:hanging="1"/>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商业企业</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107" w:leftChars="-51" w:right="-107" w:rightChars="-51"/>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科研机构</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107" w:leftChars="-51" w:right="-107" w:rightChars="-51"/>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社会公益组织</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106" w:leftChars="-51" w:right="-107" w:rightChars="-51" w:hanging="1"/>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法律服务机构</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134" w:rightChars="-64"/>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其他</w:t>
            </w:r>
          </w:p>
        </w:tc>
        <w:tc>
          <w:tcPr>
            <w:tcW w:w="461"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4698" w:type="dxa"/>
            <w:gridSpan w:val="3"/>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一、</w:t>
            </w:r>
            <w:bookmarkStart w:id="0" w:name="_Hlk66973412"/>
            <w:r>
              <w:rPr>
                <w:rFonts w:hint="default" w:ascii="Times New Roman" w:hAnsi="Times New Roman" w:eastAsia="文星仿宋" w:cs="Times New Roman"/>
                <w:b/>
                <w:sz w:val="28"/>
                <w:szCs w:val="28"/>
              </w:rPr>
              <w:t>本年新收政府信息公开申请数量</w:t>
            </w:r>
            <w:bookmarkEnd w:id="0"/>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2</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4698" w:type="dxa"/>
            <w:gridSpan w:val="3"/>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二、上年结转政府信息公开申请数量</w:t>
            </w:r>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restart"/>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三、本年度办理结果</w:t>
            </w:r>
          </w:p>
        </w:tc>
        <w:tc>
          <w:tcPr>
            <w:tcW w:w="3743" w:type="dxa"/>
            <w:gridSpan w:val="2"/>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（一）予以公开</w:t>
            </w:r>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1</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jc w:val="center"/>
        </w:trPr>
        <w:tc>
          <w:tcPr>
            <w:tcW w:w="955"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3743" w:type="dxa"/>
            <w:gridSpan w:val="2"/>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（二）部分公开（</w:t>
            </w:r>
            <w:bookmarkStart w:id="1" w:name="_Hlk66973981"/>
            <w:r>
              <w:rPr>
                <w:rFonts w:hint="default" w:ascii="Times New Roman" w:hAnsi="Times New Roman" w:eastAsia="文星仿宋" w:cs="Times New Roman"/>
                <w:b/>
                <w:sz w:val="28"/>
                <w:szCs w:val="28"/>
              </w:rPr>
              <w:t>区分处理的，只计这一情形，不计其他情形</w:t>
            </w:r>
            <w:bookmarkEnd w:id="1"/>
            <w:r>
              <w:rPr>
                <w:rFonts w:hint="default" w:ascii="Times New Roman" w:hAnsi="Times New Roman" w:eastAsia="文星仿宋" w:cs="Times New Roman"/>
                <w:b/>
                <w:sz w:val="28"/>
                <w:szCs w:val="28"/>
              </w:rPr>
              <w:t>）</w:t>
            </w:r>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955"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文星仿宋" w:cs="Times New Roman"/>
                <w:b/>
                <w:sz w:val="28"/>
                <w:szCs w:val="28"/>
              </w:rPr>
            </w:pPr>
          </w:p>
        </w:tc>
        <w:tc>
          <w:tcPr>
            <w:tcW w:w="1162" w:type="dxa"/>
            <w:vMerge w:val="restart"/>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（三）不予公开</w:t>
            </w:r>
          </w:p>
        </w:tc>
        <w:tc>
          <w:tcPr>
            <w:tcW w:w="258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1.属于国家秘密</w:t>
            </w:r>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7" w:hRule="atLeast"/>
          <w:jc w:val="center"/>
        </w:trPr>
        <w:tc>
          <w:tcPr>
            <w:tcW w:w="955"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文星仿宋" w:cs="Times New Roman"/>
                <w:b/>
                <w:sz w:val="28"/>
                <w:szCs w:val="28"/>
              </w:rPr>
            </w:pPr>
          </w:p>
        </w:tc>
        <w:tc>
          <w:tcPr>
            <w:tcW w:w="1162"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2.</w:t>
            </w:r>
            <w:bookmarkStart w:id="2" w:name="_Hlk66974104"/>
            <w:r>
              <w:rPr>
                <w:rFonts w:hint="default" w:ascii="Times New Roman" w:hAnsi="Times New Roman" w:eastAsia="文星仿宋" w:cs="Times New Roman"/>
                <w:b/>
                <w:sz w:val="28"/>
                <w:szCs w:val="28"/>
              </w:rPr>
              <w:t>其他法律行政法规禁止公开</w:t>
            </w:r>
            <w:bookmarkEnd w:id="2"/>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1</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955"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文星仿宋" w:cs="Times New Roman"/>
                <w:b/>
                <w:sz w:val="28"/>
                <w:szCs w:val="28"/>
              </w:rPr>
            </w:pPr>
          </w:p>
        </w:tc>
        <w:tc>
          <w:tcPr>
            <w:tcW w:w="1162"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3.危及“三安全一稳定”</w:t>
            </w:r>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955"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文星仿宋" w:cs="Times New Roman"/>
                <w:b/>
                <w:sz w:val="28"/>
                <w:szCs w:val="28"/>
              </w:rPr>
            </w:pPr>
          </w:p>
        </w:tc>
        <w:tc>
          <w:tcPr>
            <w:tcW w:w="1162"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4.</w:t>
            </w:r>
            <w:bookmarkStart w:id="3" w:name="_Hlk66974290"/>
            <w:r>
              <w:rPr>
                <w:rFonts w:hint="default" w:ascii="Times New Roman" w:hAnsi="Times New Roman" w:eastAsia="文星仿宋" w:cs="Times New Roman"/>
                <w:b/>
                <w:sz w:val="28"/>
                <w:szCs w:val="28"/>
              </w:rPr>
              <w:t>保护第三方合法权益</w:t>
            </w:r>
            <w:bookmarkEnd w:id="3"/>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955"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文星仿宋" w:cs="Times New Roman"/>
                <w:b/>
                <w:sz w:val="28"/>
                <w:szCs w:val="28"/>
              </w:rPr>
            </w:pPr>
          </w:p>
        </w:tc>
        <w:tc>
          <w:tcPr>
            <w:tcW w:w="1162"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5.属于三类内部事务信息</w:t>
            </w:r>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955"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文星仿宋" w:cs="Times New Roman"/>
                <w:b/>
                <w:sz w:val="28"/>
                <w:szCs w:val="28"/>
              </w:rPr>
            </w:pPr>
          </w:p>
        </w:tc>
        <w:tc>
          <w:tcPr>
            <w:tcW w:w="1162"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6.</w:t>
            </w:r>
            <w:bookmarkStart w:id="4" w:name="_Hlk66974555"/>
            <w:r>
              <w:rPr>
                <w:rFonts w:hint="default" w:ascii="Times New Roman" w:hAnsi="Times New Roman" w:eastAsia="文星仿宋" w:cs="Times New Roman"/>
                <w:b/>
                <w:sz w:val="28"/>
                <w:szCs w:val="28"/>
              </w:rPr>
              <w:t>属于四类过程性信息</w:t>
            </w:r>
            <w:bookmarkEnd w:id="4"/>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955"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文星仿宋" w:cs="Times New Roman"/>
                <w:b/>
                <w:sz w:val="28"/>
                <w:szCs w:val="28"/>
              </w:rPr>
            </w:pPr>
          </w:p>
        </w:tc>
        <w:tc>
          <w:tcPr>
            <w:tcW w:w="1162"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7.属于行政执法案卷</w:t>
            </w:r>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955"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文星仿宋" w:cs="Times New Roman"/>
                <w:b/>
                <w:sz w:val="28"/>
                <w:szCs w:val="28"/>
              </w:rPr>
            </w:pPr>
          </w:p>
        </w:tc>
        <w:tc>
          <w:tcPr>
            <w:tcW w:w="1162"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8.</w:t>
            </w:r>
            <w:bookmarkStart w:id="5" w:name="_Hlk66975211"/>
            <w:r>
              <w:rPr>
                <w:rFonts w:hint="default" w:ascii="Times New Roman" w:hAnsi="Times New Roman" w:eastAsia="文星仿宋" w:cs="Times New Roman"/>
                <w:b/>
                <w:sz w:val="28"/>
                <w:szCs w:val="28"/>
              </w:rPr>
              <w:t>属于行政查询事项</w:t>
            </w:r>
            <w:bookmarkEnd w:id="5"/>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955"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文星仿宋" w:cs="Times New Roman"/>
                <w:b/>
                <w:sz w:val="28"/>
                <w:szCs w:val="28"/>
              </w:rPr>
            </w:pPr>
          </w:p>
        </w:tc>
        <w:tc>
          <w:tcPr>
            <w:tcW w:w="1162" w:type="dxa"/>
            <w:vMerge w:val="restart"/>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（四）无法提供</w:t>
            </w:r>
          </w:p>
        </w:tc>
        <w:tc>
          <w:tcPr>
            <w:tcW w:w="258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1.本机关不掌握相关政府信息</w:t>
            </w:r>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jc w:val="center"/>
        </w:trPr>
        <w:tc>
          <w:tcPr>
            <w:tcW w:w="955"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文星仿宋" w:cs="Times New Roman"/>
                <w:b/>
                <w:sz w:val="28"/>
                <w:szCs w:val="28"/>
              </w:rPr>
            </w:pPr>
          </w:p>
        </w:tc>
        <w:tc>
          <w:tcPr>
            <w:tcW w:w="1162"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2.</w:t>
            </w:r>
            <w:bookmarkStart w:id="6" w:name="_Hlk66975392"/>
            <w:r>
              <w:rPr>
                <w:rFonts w:hint="default" w:ascii="Times New Roman" w:hAnsi="Times New Roman" w:eastAsia="文星仿宋" w:cs="Times New Roman"/>
                <w:b/>
                <w:sz w:val="28"/>
                <w:szCs w:val="28"/>
              </w:rPr>
              <w:t>没有现成信息需要另行制作</w:t>
            </w:r>
            <w:bookmarkEnd w:id="6"/>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955"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文星仿宋" w:cs="Times New Roman"/>
                <w:b/>
                <w:sz w:val="28"/>
                <w:szCs w:val="28"/>
              </w:rPr>
            </w:pPr>
          </w:p>
        </w:tc>
        <w:tc>
          <w:tcPr>
            <w:tcW w:w="1162"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3.</w:t>
            </w:r>
            <w:bookmarkStart w:id="7" w:name="_Hlk66975466"/>
            <w:r>
              <w:rPr>
                <w:rFonts w:hint="default" w:ascii="Times New Roman" w:hAnsi="Times New Roman" w:eastAsia="文星仿宋" w:cs="Times New Roman"/>
                <w:b/>
                <w:spacing w:val="-8"/>
                <w:sz w:val="28"/>
                <w:szCs w:val="28"/>
              </w:rPr>
              <w:t>补正后申请内容仍不明确</w:t>
            </w:r>
            <w:bookmarkEnd w:id="7"/>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955"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文星仿宋" w:cs="Times New Roman"/>
                <w:b/>
                <w:sz w:val="28"/>
                <w:szCs w:val="28"/>
              </w:rPr>
            </w:pPr>
          </w:p>
        </w:tc>
        <w:tc>
          <w:tcPr>
            <w:tcW w:w="1162" w:type="dxa"/>
            <w:vMerge w:val="restart"/>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（五）不予处理</w:t>
            </w:r>
          </w:p>
        </w:tc>
        <w:tc>
          <w:tcPr>
            <w:tcW w:w="258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1.</w:t>
            </w:r>
            <w:bookmarkStart w:id="8" w:name="_Hlk66975537"/>
            <w:r>
              <w:rPr>
                <w:rFonts w:hint="default" w:ascii="Times New Roman" w:hAnsi="Times New Roman" w:eastAsia="文星仿宋" w:cs="Times New Roman"/>
                <w:b/>
                <w:sz w:val="28"/>
                <w:szCs w:val="28"/>
              </w:rPr>
              <w:t>信访举报投诉类申请</w:t>
            </w:r>
            <w:bookmarkEnd w:id="8"/>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955"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文星仿宋" w:cs="Times New Roman"/>
                <w:b/>
                <w:sz w:val="28"/>
                <w:szCs w:val="28"/>
              </w:rPr>
            </w:pPr>
          </w:p>
        </w:tc>
        <w:tc>
          <w:tcPr>
            <w:tcW w:w="1162"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2.重复申请</w:t>
            </w:r>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955"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文星仿宋" w:cs="Times New Roman"/>
                <w:b/>
                <w:sz w:val="28"/>
                <w:szCs w:val="28"/>
              </w:rPr>
            </w:pPr>
          </w:p>
        </w:tc>
        <w:tc>
          <w:tcPr>
            <w:tcW w:w="1162"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3.要求提供公开出版物</w:t>
            </w:r>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955"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文星仿宋" w:cs="Times New Roman"/>
                <w:b/>
                <w:sz w:val="28"/>
                <w:szCs w:val="28"/>
              </w:rPr>
            </w:pPr>
          </w:p>
        </w:tc>
        <w:tc>
          <w:tcPr>
            <w:tcW w:w="1162"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4.</w:t>
            </w:r>
            <w:r>
              <w:rPr>
                <w:rFonts w:hint="default" w:ascii="Times New Roman" w:hAnsi="Times New Roman" w:eastAsia="文星仿宋" w:cs="Times New Roman"/>
                <w:b/>
                <w:spacing w:val="-8"/>
                <w:sz w:val="28"/>
                <w:szCs w:val="28"/>
              </w:rPr>
              <w:t>无正当理由大量反复申请</w:t>
            </w:r>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955"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文星仿宋" w:cs="Times New Roman"/>
                <w:b/>
                <w:sz w:val="28"/>
                <w:szCs w:val="28"/>
              </w:rPr>
            </w:pPr>
          </w:p>
        </w:tc>
        <w:tc>
          <w:tcPr>
            <w:tcW w:w="1162"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5.要求行政机关确认或重新出具已获取信息</w:t>
            </w:r>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0" w:hRule="atLeast"/>
          <w:jc w:val="center"/>
        </w:trPr>
        <w:tc>
          <w:tcPr>
            <w:tcW w:w="955"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文星仿宋" w:cs="Times New Roman"/>
                <w:b/>
                <w:sz w:val="28"/>
                <w:szCs w:val="28"/>
              </w:rPr>
            </w:pPr>
          </w:p>
        </w:tc>
        <w:tc>
          <w:tcPr>
            <w:tcW w:w="1162" w:type="dxa"/>
            <w:vMerge w:val="restart"/>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（六）其他处理</w:t>
            </w:r>
          </w:p>
        </w:tc>
        <w:tc>
          <w:tcPr>
            <w:tcW w:w="258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1</w:t>
            </w:r>
            <w:r>
              <w:rPr>
                <w:rFonts w:hint="default" w:ascii="Times New Roman" w:hAnsi="Times New Roman" w:eastAsia="文星仿宋" w:cs="Times New Roman"/>
                <w:b/>
                <w:color w:val="000000"/>
                <w:sz w:val="28"/>
                <w:szCs w:val="28"/>
              </w:rPr>
              <w:t>.申请人无正当理由逾期不补正、行政机关不再处理其政府信息公开申请</w:t>
            </w:r>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955"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文星仿宋" w:cs="Times New Roman"/>
                <w:b/>
                <w:sz w:val="28"/>
                <w:szCs w:val="28"/>
              </w:rPr>
            </w:pPr>
          </w:p>
        </w:tc>
        <w:tc>
          <w:tcPr>
            <w:tcW w:w="1162"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文星仿宋" w:cs="Times New Roman"/>
                <w:b/>
                <w:sz w:val="28"/>
                <w:szCs w:val="28"/>
              </w:rPr>
            </w:pPr>
          </w:p>
        </w:tc>
        <w:tc>
          <w:tcPr>
            <w:tcW w:w="258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2</w:t>
            </w:r>
            <w:r>
              <w:rPr>
                <w:rFonts w:hint="default" w:ascii="Times New Roman" w:hAnsi="Times New Roman" w:eastAsia="文星仿宋" w:cs="Times New Roman"/>
                <w:b/>
                <w:color w:val="000000"/>
                <w:sz w:val="28"/>
                <w:szCs w:val="28"/>
              </w:rPr>
              <w:t>.申请人逾期未按收费通知要求缴纳费用、行政机关不再处理其政府信息公开申请</w:t>
            </w:r>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文星仿宋" w:cs="Times New Roman"/>
                <w:b/>
                <w:sz w:val="28"/>
                <w:szCs w:val="28"/>
              </w:rPr>
            </w:pPr>
          </w:p>
        </w:tc>
        <w:tc>
          <w:tcPr>
            <w:tcW w:w="1162"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文星仿宋" w:cs="Times New Roman"/>
                <w:b/>
                <w:sz w:val="28"/>
                <w:szCs w:val="28"/>
              </w:rPr>
            </w:pPr>
          </w:p>
        </w:tc>
        <w:tc>
          <w:tcPr>
            <w:tcW w:w="258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3.其他</w:t>
            </w:r>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3743" w:type="dxa"/>
            <w:gridSpan w:val="2"/>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（七）总计</w:t>
            </w:r>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2</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4698" w:type="dxa"/>
            <w:gridSpan w:val="3"/>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四、结转下年度继续办理</w:t>
            </w:r>
          </w:p>
        </w:tc>
        <w:tc>
          <w:tcPr>
            <w:tcW w:w="8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bl>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textAlignment w:val="auto"/>
        <w:rPr>
          <w:rFonts w:hint="eastAsia" w:ascii="黑体" w:hAnsi="黑体" w:eastAsia="黑体" w:cs="黑体"/>
          <w:b/>
          <w:bCs/>
          <w:i w:val="0"/>
          <w:caps w:val="0"/>
          <w:color w:val="auto"/>
          <w:spacing w:val="0"/>
          <w:sz w:val="32"/>
          <w:szCs w:val="32"/>
          <w:shd w:val="clear" w:color="auto" w:fill="FFFFFF"/>
          <w:lang w:eastAsia="zh-CN"/>
        </w:rPr>
      </w:pPr>
      <w:r>
        <w:rPr>
          <w:rFonts w:hint="eastAsia" w:ascii="黑体" w:hAnsi="黑体" w:eastAsia="黑体" w:cs="黑体"/>
          <w:b/>
          <w:bCs/>
          <w:i w:val="0"/>
          <w:caps w:val="0"/>
          <w:color w:val="auto"/>
          <w:spacing w:val="0"/>
          <w:sz w:val="32"/>
          <w:szCs w:val="32"/>
          <w:shd w:val="clear" w:color="auto" w:fill="FFFFFF"/>
          <w:lang w:eastAsia="zh-CN"/>
        </w:rPr>
        <w:t>四、政府信息公开行政复议、行政诉讼情况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2895" w:type="dxa"/>
            <w:gridSpan w:val="5"/>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行政复议</w:t>
            </w:r>
          </w:p>
        </w:tc>
        <w:tc>
          <w:tcPr>
            <w:tcW w:w="5922" w:type="dxa"/>
            <w:gridSpan w:val="10"/>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604" w:type="dxa"/>
            <w:vMerge w:val="restart"/>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149" w:leftChars="-71" w:right="-170" w:rightChars="-81"/>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w:t>
            </w:r>
          </w:p>
          <w:p>
            <w:pPr>
              <w:keepNext w:val="0"/>
              <w:keepLines w:val="0"/>
              <w:pageBreakBefore w:val="0"/>
              <w:widowControl w:val="0"/>
              <w:kinsoku/>
              <w:wordWrap/>
              <w:overflowPunct/>
              <w:topLinePunct w:val="0"/>
              <w:autoSpaceDE/>
              <w:autoSpaceDN/>
              <w:bidi w:val="0"/>
              <w:adjustRightInd/>
              <w:snapToGrid/>
              <w:spacing w:line="320" w:lineRule="exact"/>
              <w:ind w:left="-149" w:leftChars="-71" w:right="-170" w:rightChars="-81"/>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维持</w:t>
            </w:r>
          </w:p>
        </w:tc>
        <w:tc>
          <w:tcPr>
            <w:tcW w:w="604" w:type="dxa"/>
            <w:vMerge w:val="restart"/>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3" w:leftChars="-21" w:right="-132" w:rightChars="-63" w:hanging="1"/>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结果纠正</w:t>
            </w:r>
          </w:p>
        </w:tc>
        <w:tc>
          <w:tcPr>
            <w:tcW w:w="604" w:type="dxa"/>
            <w:vMerge w:val="restart"/>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82" w:leftChars="-39" w:right="-97" w:rightChars="-46"/>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其他结果</w:t>
            </w:r>
          </w:p>
        </w:tc>
        <w:tc>
          <w:tcPr>
            <w:tcW w:w="604" w:type="dxa"/>
            <w:vMerge w:val="restart"/>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118" w:leftChars="-56" w:right="-118" w:rightChars="-56"/>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尚未</w:t>
            </w:r>
          </w:p>
          <w:p>
            <w:pPr>
              <w:keepNext w:val="0"/>
              <w:keepLines w:val="0"/>
              <w:pageBreakBefore w:val="0"/>
              <w:widowControl w:val="0"/>
              <w:kinsoku/>
              <w:wordWrap/>
              <w:overflowPunct/>
              <w:topLinePunct w:val="0"/>
              <w:autoSpaceDE/>
              <w:autoSpaceDN/>
              <w:bidi w:val="0"/>
              <w:adjustRightInd/>
              <w:snapToGrid/>
              <w:spacing w:line="320" w:lineRule="exact"/>
              <w:ind w:left="-118" w:leftChars="-56" w:right="-118" w:rightChars="-56"/>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审结</w:t>
            </w:r>
          </w:p>
        </w:tc>
        <w:tc>
          <w:tcPr>
            <w:tcW w:w="479" w:type="dxa"/>
            <w:vMerge w:val="restart"/>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计</w:t>
            </w:r>
          </w:p>
        </w:tc>
        <w:tc>
          <w:tcPr>
            <w:tcW w:w="2943" w:type="dxa"/>
            <w:gridSpan w:val="5"/>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未经复议直接起诉</w:t>
            </w:r>
          </w:p>
        </w:tc>
        <w:tc>
          <w:tcPr>
            <w:tcW w:w="2979" w:type="dxa"/>
            <w:gridSpan w:val="5"/>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文星仿宋" w:cs="Times New Roman"/>
                <w:b/>
                <w:sz w:val="28"/>
                <w:szCs w:val="28"/>
              </w:rPr>
            </w:pPr>
            <w:bookmarkStart w:id="9" w:name="_Hlk67039688"/>
            <w:r>
              <w:rPr>
                <w:rFonts w:hint="default" w:ascii="Times New Roman" w:hAnsi="Times New Roman" w:eastAsia="文星仿宋" w:cs="Times New Roman"/>
                <w:b/>
                <w:sz w:val="28"/>
                <w:szCs w:val="28"/>
              </w:rPr>
              <w:t>复议后起诉</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604"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文星仿宋" w:cs="Times New Roman"/>
                <w:b/>
                <w:sz w:val="28"/>
                <w:szCs w:val="28"/>
              </w:rPr>
            </w:pPr>
          </w:p>
        </w:tc>
        <w:tc>
          <w:tcPr>
            <w:tcW w:w="604"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文星仿宋" w:cs="Times New Roman"/>
                <w:b/>
                <w:sz w:val="28"/>
                <w:szCs w:val="28"/>
              </w:rPr>
            </w:pPr>
          </w:p>
        </w:tc>
        <w:tc>
          <w:tcPr>
            <w:tcW w:w="604"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文星仿宋" w:cs="Times New Roman"/>
                <w:b/>
                <w:sz w:val="28"/>
                <w:szCs w:val="28"/>
              </w:rPr>
            </w:pPr>
          </w:p>
        </w:tc>
        <w:tc>
          <w:tcPr>
            <w:tcW w:w="604"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文星仿宋" w:cs="Times New Roman"/>
                <w:b/>
                <w:sz w:val="28"/>
                <w:szCs w:val="28"/>
              </w:rPr>
            </w:pPr>
          </w:p>
        </w:tc>
        <w:tc>
          <w:tcPr>
            <w:tcW w:w="479" w:type="dxa"/>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文星仿宋" w:cs="Times New Roman"/>
                <w:b/>
                <w:sz w:val="28"/>
                <w:szCs w:val="28"/>
              </w:rPr>
            </w:pPr>
          </w:p>
        </w:tc>
        <w:tc>
          <w:tcPr>
            <w:tcW w:w="550"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26" w:rightChars="-60"/>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结果维持</w:t>
            </w:r>
          </w:p>
        </w:tc>
        <w:tc>
          <w:tcPr>
            <w:tcW w:w="605"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86" w:leftChars="-41" w:right="-88" w:rightChars="-42"/>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结果纠正</w:t>
            </w:r>
          </w:p>
        </w:tc>
        <w:tc>
          <w:tcPr>
            <w:tcW w:w="605"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126" w:leftChars="-60" w:right="-136" w:rightChars="-65"/>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其他</w:t>
            </w:r>
          </w:p>
          <w:p>
            <w:pPr>
              <w:keepNext w:val="0"/>
              <w:keepLines w:val="0"/>
              <w:pageBreakBefore w:val="0"/>
              <w:widowControl w:val="0"/>
              <w:kinsoku/>
              <w:wordWrap/>
              <w:overflowPunct/>
              <w:topLinePunct w:val="0"/>
              <w:autoSpaceDE/>
              <w:autoSpaceDN/>
              <w:bidi w:val="0"/>
              <w:adjustRightInd/>
              <w:snapToGrid/>
              <w:spacing w:line="320" w:lineRule="exact"/>
              <w:ind w:left="-126" w:leftChars="-60" w:right="-136" w:rightChars="-65"/>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w:t>
            </w:r>
          </w:p>
        </w:tc>
        <w:tc>
          <w:tcPr>
            <w:tcW w:w="605"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164" w:leftChars="-78" w:right="-153" w:rightChars="-73"/>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尚未</w:t>
            </w:r>
          </w:p>
          <w:p>
            <w:pPr>
              <w:keepNext w:val="0"/>
              <w:keepLines w:val="0"/>
              <w:pageBreakBefore w:val="0"/>
              <w:widowControl w:val="0"/>
              <w:kinsoku/>
              <w:wordWrap/>
              <w:overflowPunct/>
              <w:topLinePunct w:val="0"/>
              <w:autoSpaceDE/>
              <w:autoSpaceDN/>
              <w:bidi w:val="0"/>
              <w:adjustRightInd/>
              <w:snapToGrid/>
              <w:spacing w:line="320" w:lineRule="exact"/>
              <w:ind w:left="-164" w:leftChars="-78" w:right="-153" w:rightChars="-73"/>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审结</w:t>
            </w:r>
          </w:p>
        </w:tc>
        <w:tc>
          <w:tcPr>
            <w:tcW w:w="578"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总计</w:t>
            </w:r>
          </w:p>
        </w:tc>
        <w:tc>
          <w:tcPr>
            <w:tcW w:w="605"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99" w:leftChars="-47" w:right="-78" w:rightChars="-37"/>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结果维持</w:t>
            </w:r>
          </w:p>
        </w:tc>
        <w:tc>
          <w:tcPr>
            <w:tcW w:w="605"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136" w:leftChars="-65" w:right="-124" w:rightChars="-59"/>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w:t>
            </w:r>
          </w:p>
          <w:p>
            <w:pPr>
              <w:keepNext w:val="0"/>
              <w:keepLines w:val="0"/>
              <w:pageBreakBefore w:val="0"/>
              <w:widowControl w:val="0"/>
              <w:kinsoku/>
              <w:wordWrap/>
              <w:overflowPunct/>
              <w:topLinePunct w:val="0"/>
              <w:autoSpaceDE/>
              <w:autoSpaceDN/>
              <w:bidi w:val="0"/>
              <w:adjustRightInd/>
              <w:snapToGrid/>
              <w:spacing w:line="320" w:lineRule="exact"/>
              <w:ind w:left="-136" w:leftChars="-65" w:right="-124" w:rightChars="-59"/>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纠正</w:t>
            </w:r>
          </w:p>
        </w:tc>
        <w:tc>
          <w:tcPr>
            <w:tcW w:w="605"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173" w:leftChars="-83" w:right="-134" w:rightChars="-64" w:hanging="1"/>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其他</w:t>
            </w:r>
          </w:p>
          <w:p>
            <w:pPr>
              <w:keepNext w:val="0"/>
              <w:keepLines w:val="0"/>
              <w:pageBreakBefore w:val="0"/>
              <w:widowControl w:val="0"/>
              <w:kinsoku/>
              <w:wordWrap/>
              <w:overflowPunct/>
              <w:topLinePunct w:val="0"/>
              <w:autoSpaceDE/>
              <w:autoSpaceDN/>
              <w:bidi w:val="0"/>
              <w:adjustRightInd/>
              <w:snapToGrid/>
              <w:spacing w:line="320" w:lineRule="exact"/>
              <w:ind w:left="-173" w:leftChars="-83" w:right="-134" w:rightChars="-64" w:hanging="1"/>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w:t>
            </w:r>
          </w:p>
        </w:tc>
        <w:tc>
          <w:tcPr>
            <w:tcW w:w="606"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66" w:leftChars="-33" w:right="-105" w:rightChars="-50" w:hanging="3" w:hangingChars="1"/>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尚未审结</w:t>
            </w:r>
          </w:p>
        </w:tc>
        <w:tc>
          <w:tcPr>
            <w:tcW w:w="558"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604"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604"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604"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604"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7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50"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605"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605"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605"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8"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605"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605"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605"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606"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58"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bl>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textAlignment w:val="auto"/>
        <w:rPr>
          <w:rFonts w:hint="eastAsia" w:ascii="黑体" w:hAnsi="黑体" w:eastAsia="黑体" w:cs="黑体"/>
          <w:b/>
          <w:bCs/>
          <w:i w:val="0"/>
          <w:caps w:val="0"/>
          <w:color w:val="auto"/>
          <w:spacing w:val="0"/>
          <w:sz w:val="32"/>
          <w:szCs w:val="32"/>
          <w:shd w:val="clear" w:color="auto" w:fill="FFFFFF"/>
          <w:lang w:eastAsia="zh-CN"/>
        </w:rPr>
      </w:pPr>
      <w:r>
        <w:rPr>
          <w:rFonts w:hint="eastAsia" w:ascii="黑体" w:hAnsi="黑体" w:eastAsia="黑体" w:cs="黑体"/>
          <w:b/>
          <w:bCs/>
          <w:i w:val="0"/>
          <w:caps w:val="0"/>
          <w:color w:val="auto"/>
          <w:spacing w:val="0"/>
          <w:sz w:val="32"/>
          <w:szCs w:val="32"/>
          <w:shd w:val="clear" w:color="auto" w:fill="FFFFFF"/>
          <w:lang w:eastAsia="zh-CN"/>
        </w:rPr>
        <w:t>五、存在的主要问题及改进情况</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r>
        <w:rPr>
          <w:rFonts w:hint="eastAsia" w:ascii="楷体" w:hAnsi="楷体" w:eastAsia="楷体" w:cs="楷体"/>
          <w:b/>
          <w:bCs/>
          <w:i w:val="0"/>
          <w:caps w:val="0"/>
          <w:color w:val="auto"/>
          <w:spacing w:val="0"/>
          <w:sz w:val="32"/>
          <w:szCs w:val="32"/>
          <w:shd w:val="clear" w:color="auto" w:fill="FFFFFF"/>
          <w:lang w:val="en-US" w:eastAsia="zh-CN"/>
        </w:rPr>
        <w:t>（一）工作中存在的主要问题。</w:t>
      </w:r>
      <w:r>
        <w:rPr>
          <w:rFonts w:hint="eastAsia" w:ascii="仿宋" w:hAnsi="仿宋" w:eastAsia="仿宋" w:cs="仿宋"/>
          <w:b/>
          <w:bCs/>
          <w:i w:val="0"/>
          <w:caps w:val="0"/>
          <w:color w:val="auto"/>
          <w:spacing w:val="0"/>
          <w:sz w:val="32"/>
          <w:szCs w:val="32"/>
          <w:shd w:val="clear" w:color="auto" w:fill="FFFFFF"/>
          <w:lang w:val="en-US" w:eastAsia="zh-CN"/>
        </w:rPr>
        <w:t>一是政府信息公开培训较少，不利于更好地推动工作；二是政府信息公开的方式有待提升，没有达到有效的公众交互式体验。</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 w:hAnsi="仿宋" w:eastAsia="仿宋" w:cs="仿宋"/>
          <w:b/>
          <w:bCs/>
          <w:i w:val="0"/>
          <w:caps w:val="0"/>
          <w:color w:val="auto"/>
          <w:spacing w:val="0"/>
          <w:sz w:val="32"/>
          <w:szCs w:val="32"/>
          <w:shd w:val="clear" w:color="auto" w:fill="FFFFFF"/>
          <w:lang w:val="en-US" w:eastAsia="zh-CN"/>
        </w:rPr>
      </w:pPr>
      <w:r>
        <w:rPr>
          <w:rFonts w:hint="eastAsia" w:ascii="楷体" w:hAnsi="楷体" w:eastAsia="楷体" w:cs="楷体"/>
          <w:b/>
          <w:bCs/>
          <w:i w:val="0"/>
          <w:caps w:val="0"/>
          <w:color w:val="auto"/>
          <w:spacing w:val="0"/>
          <w:sz w:val="32"/>
          <w:szCs w:val="32"/>
          <w:shd w:val="clear" w:color="auto" w:fill="FFFFFF"/>
          <w:lang w:val="en-US" w:eastAsia="zh-CN"/>
        </w:rPr>
        <w:t>（二）解决办法和改进措施。</w:t>
      </w:r>
      <w:r>
        <w:rPr>
          <w:rFonts w:hint="eastAsia" w:ascii="仿宋" w:hAnsi="仿宋" w:eastAsia="仿宋" w:cs="仿宋"/>
          <w:b/>
          <w:bCs/>
          <w:i w:val="0"/>
          <w:caps w:val="0"/>
          <w:color w:val="auto"/>
          <w:spacing w:val="0"/>
          <w:sz w:val="32"/>
          <w:szCs w:val="32"/>
          <w:shd w:val="clear" w:color="auto" w:fill="FFFFFF"/>
          <w:lang w:val="en-US" w:eastAsia="zh-CN"/>
        </w:rPr>
        <w:t>下一步，县统计局将加大政府信息公开工作力度，保障政府信息公开培训的频次和质量，创新数据解读方式，推进我局政府信息公开工作再上新台阶。</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textAlignment w:val="auto"/>
        <w:rPr>
          <w:rFonts w:hint="eastAsia" w:ascii="黑体" w:hAnsi="黑体" w:eastAsia="黑体" w:cs="黑体"/>
          <w:b/>
          <w:bCs/>
          <w:i w:val="0"/>
          <w:caps w:val="0"/>
          <w:color w:val="auto"/>
          <w:spacing w:val="0"/>
          <w:sz w:val="32"/>
          <w:szCs w:val="32"/>
          <w:shd w:val="clear" w:color="auto" w:fill="FFFFFF"/>
          <w:lang w:eastAsia="zh-CN"/>
        </w:rPr>
      </w:pPr>
      <w:r>
        <w:rPr>
          <w:rFonts w:hint="eastAsia" w:ascii="黑体" w:hAnsi="黑体" w:eastAsia="黑体" w:cs="黑体"/>
          <w:b/>
          <w:bCs/>
          <w:i w:val="0"/>
          <w:caps w:val="0"/>
          <w:color w:val="auto"/>
          <w:spacing w:val="0"/>
          <w:sz w:val="32"/>
          <w:szCs w:val="32"/>
          <w:shd w:val="clear" w:color="auto" w:fill="FFFFFF"/>
          <w:lang w:eastAsia="zh-CN"/>
        </w:rPr>
        <w:t>六、其他需要报告的事项</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r>
        <w:rPr>
          <w:rFonts w:hint="eastAsia" w:ascii="仿宋" w:hAnsi="仿宋" w:eastAsia="仿宋" w:cs="仿宋"/>
          <w:b/>
          <w:bCs/>
          <w:i w:val="0"/>
          <w:caps w:val="0"/>
          <w:color w:val="auto"/>
          <w:spacing w:val="0"/>
          <w:sz w:val="32"/>
          <w:szCs w:val="32"/>
          <w:shd w:val="clear" w:color="auto" w:fill="FFFFFF"/>
          <w:lang w:val="en-US" w:eastAsia="zh-CN"/>
        </w:rPr>
        <w:t>（一）依据《政府信息公开信息处理费管理办法》收取信息处理费的情况：无。</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r>
        <w:rPr>
          <w:rFonts w:hint="eastAsia" w:ascii="仿宋" w:hAnsi="仿宋" w:eastAsia="仿宋" w:cs="仿宋"/>
          <w:b/>
          <w:bCs/>
          <w:i w:val="0"/>
          <w:caps w:val="0"/>
          <w:color w:val="auto"/>
          <w:spacing w:val="0"/>
          <w:sz w:val="32"/>
          <w:szCs w:val="32"/>
          <w:shd w:val="clear" w:color="auto" w:fill="FFFFFF"/>
          <w:lang w:val="en-US" w:eastAsia="zh-CN"/>
        </w:rPr>
        <w:t>（二）落实上级年度政务公开工作要点情况：县统计局严格按照县政府安排部署，落实各项工作任务，将统计领域信息及时有效公开。</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r>
        <w:rPr>
          <w:rFonts w:hint="eastAsia" w:ascii="仿宋" w:hAnsi="仿宋" w:eastAsia="仿宋" w:cs="仿宋"/>
          <w:b/>
          <w:bCs/>
          <w:i w:val="0"/>
          <w:caps w:val="0"/>
          <w:color w:val="auto"/>
          <w:spacing w:val="0"/>
          <w:sz w:val="32"/>
          <w:szCs w:val="32"/>
          <w:shd w:val="clear" w:color="auto" w:fill="FFFFFF"/>
          <w:lang w:val="en-US" w:eastAsia="zh-CN"/>
        </w:rPr>
        <w:t>（三）人大代表建议和政协提案办理结果公开情况：无。</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r>
        <w:rPr>
          <w:rFonts w:hint="eastAsia" w:ascii="仿宋" w:hAnsi="仿宋" w:eastAsia="仿宋" w:cs="仿宋"/>
          <w:b/>
          <w:bCs/>
          <w:i w:val="0"/>
          <w:caps w:val="0"/>
          <w:color w:val="auto"/>
          <w:spacing w:val="0"/>
          <w:sz w:val="32"/>
          <w:szCs w:val="32"/>
          <w:shd w:val="clear" w:color="auto" w:fill="FFFFFF"/>
          <w:lang w:val="en-US" w:eastAsia="zh-CN"/>
        </w:rPr>
        <w:t>（四）年度政务公开工作创新情况：无。</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r>
        <w:rPr>
          <w:rFonts w:hint="eastAsia" w:ascii="仿宋" w:hAnsi="仿宋" w:eastAsia="仿宋" w:cs="仿宋"/>
          <w:b/>
          <w:bCs/>
          <w:i w:val="0"/>
          <w:caps w:val="0"/>
          <w:color w:val="auto"/>
          <w:spacing w:val="0"/>
          <w:sz w:val="32"/>
          <w:szCs w:val="32"/>
          <w:shd w:val="clear" w:color="auto" w:fill="FFFFFF"/>
          <w:lang w:val="en-US" w:eastAsia="zh-CN"/>
        </w:rPr>
        <w:t>（五）政府信息公开工作年度报告数据统计需要说明的事项：无。</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r>
        <w:rPr>
          <w:rFonts w:hint="eastAsia" w:ascii="仿宋" w:hAnsi="仿宋" w:eastAsia="仿宋" w:cs="仿宋"/>
          <w:b/>
          <w:bCs/>
          <w:i w:val="0"/>
          <w:caps w:val="0"/>
          <w:color w:val="auto"/>
          <w:spacing w:val="0"/>
          <w:sz w:val="32"/>
          <w:szCs w:val="32"/>
          <w:shd w:val="clear" w:color="auto" w:fill="FFFFFF"/>
          <w:lang w:val="en-US" w:eastAsia="zh-CN"/>
        </w:rPr>
        <w:t>（六）需要报告的其他事项：无。</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pPr>
      <w:r>
        <w:rPr>
          <w:rFonts w:hint="eastAsia" w:ascii="仿宋" w:hAnsi="仿宋" w:eastAsia="仿宋" w:cs="仿宋"/>
          <w:b/>
          <w:bCs/>
          <w:i w:val="0"/>
          <w:caps w:val="0"/>
          <w:color w:val="auto"/>
          <w:spacing w:val="0"/>
          <w:sz w:val="32"/>
          <w:szCs w:val="32"/>
          <w:shd w:val="clear" w:color="auto" w:fill="FFFFFF"/>
          <w:lang w:val="en-US" w:eastAsia="zh-CN"/>
        </w:rPr>
        <w:t>（七）其他有关文件专门要求通过政府信息公开工作年度报告予以报告的事项：无。</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星仿宋">
    <w:altName w:val="仿宋"/>
    <w:panose1 w:val="02010609000101010101"/>
    <w:charset w:val="86"/>
    <w:family w:val="auto"/>
    <w:pitch w:val="default"/>
    <w:sig w:usb0="00000000" w:usb1="00000000" w:usb2="00000000" w:usb3="00000000" w:csb0="00040000" w:csb1="00000000"/>
  </w:font>
  <w:font w:name="文星楷体">
    <w:altName w:val="楷体_GB2312"/>
    <w:panose1 w:val="0201060900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E95DF"/>
    <w:multiLevelType w:val="singleLevel"/>
    <w:tmpl w:val="C40E95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MjEzOGUyMzE4ZTFhNjlkMmIxYjE4Njg0YWM1NmYifQ=="/>
    <w:docVar w:name="KSO_WPS_MARK_KEY" w:val="4a2bea4c-b5bf-4676-9840-5495185c701c"/>
  </w:docVars>
  <w:rsids>
    <w:rsidRoot w:val="371468DE"/>
    <w:rsid w:val="00F40DE5"/>
    <w:rsid w:val="03EE3423"/>
    <w:rsid w:val="04403880"/>
    <w:rsid w:val="04541BAA"/>
    <w:rsid w:val="049C1A21"/>
    <w:rsid w:val="089E209B"/>
    <w:rsid w:val="09E0252C"/>
    <w:rsid w:val="146D0E60"/>
    <w:rsid w:val="14961A2A"/>
    <w:rsid w:val="1575286D"/>
    <w:rsid w:val="16E90CC4"/>
    <w:rsid w:val="1AC701FB"/>
    <w:rsid w:val="1E8F2ED4"/>
    <w:rsid w:val="1E974885"/>
    <w:rsid w:val="1F185E6D"/>
    <w:rsid w:val="2081550E"/>
    <w:rsid w:val="256040C9"/>
    <w:rsid w:val="269C77A1"/>
    <w:rsid w:val="27960E9F"/>
    <w:rsid w:val="28495E32"/>
    <w:rsid w:val="29C14319"/>
    <w:rsid w:val="2A936FAF"/>
    <w:rsid w:val="2C366D54"/>
    <w:rsid w:val="2C86492D"/>
    <w:rsid w:val="2D6A5038"/>
    <w:rsid w:val="2E913C08"/>
    <w:rsid w:val="2F230642"/>
    <w:rsid w:val="2F7A2B71"/>
    <w:rsid w:val="2FD83A96"/>
    <w:rsid w:val="303A37EF"/>
    <w:rsid w:val="31AA329C"/>
    <w:rsid w:val="32E25C27"/>
    <w:rsid w:val="33395A5B"/>
    <w:rsid w:val="339064C2"/>
    <w:rsid w:val="33BA48F9"/>
    <w:rsid w:val="35F666EE"/>
    <w:rsid w:val="371468DE"/>
    <w:rsid w:val="3C4C5CC1"/>
    <w:rsid w:val="3EDF7520"/>
    <w:rsid w:val="3FFC1EEE"/>
    <w:rsid w:val="47A263DD"/>
    <w:rsid w:val="4E514410"/>
    <w:rsid w:val="4F02135A"/>
    <w:rsid w:val="4F9B57C5"/>
    <w:rsid w:val="53865439"/>
    <w:rsid w:val="541F1C96"/>
    <w:rsid w:val="557D0918"/>
    <w:rsid w:val="55B91F7B"/>
    <w:rsid w:val="59FB64AA"/>
    <w:rsid w:val="5B2C3611"/>
    <w:rsid w:val="5C4B1E59"/>
    <w:rsid w:val="5C986458"/>
    <w:rsid w:val="5DB24AB3"/>
    <w:rsid w:val="5DDB1C08"/>
    <w:rsid w:val="5FFC2092"/>
    <w:rsid w:val="60793BF1"/>
    <w:rsid w:val="615761E1"/>
    <w:rsid w:val="63C705B2"/>
    <w:rsid w:val="68BC45FF"/>
    <w:rsid w:val="68FD1524"/>
    <w:rsid w:val="6A1A10E3"/>
    <w:rsid w:val="6BFC4EB7"/>
    <w:rsid w:val="6C536793"/>
    <w:rsid w:val="6D7952F5"/>
    <w:rsid w:val="70381208"/>
    <w:rsid w:val="72AB5C1E"/>
    <w:rsid w:val="743A21F9"/>
    <w:rsid w:val="75C87080"/>
    <w:rsid w:val="75F44C74"/>
    <w:rsid w:val="764221C2"/>
    <w:rsid w:val="77D23F80"/>
    <w:rsid w:val="77D32E7D"/>
    <w:rsid w:val="781B56EB"/>
    <w:rsid w:val="782B4E4C"/>
    <w:rsid w:val="78B2753E"/>
    <w:rsid w:val="79043956"/>
    <w:rsid w:val="7A1359FD"/>
    <w:rsid w:val="7A9758B0"/>
    <w:rsid w:val="7B4927AB"/>
    <w:rsid w:val="7C2362D3"/>
    <w:rsid w:val="7CB654E1"/>
    <w:rsid w:val="7CCE5DAC"/>
    <w:rsid w:val="7F591669"/>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2231</Words>
  <Characters>2318</Characters>
  <Lines>0</Lines>
  <Paragraphs>0</Paragraphs>
  <TotalTime>14</TotalTime>
  <ScaleCrop>false</ScaleCrop>
  <LinksUpToDate>false</LinksUpToDate>
  <CharactersWithSpaces>2318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2022-01-04T07:16:00Z</dcterms:created>
  <dc:creator>巷尾的梧桐ᥫᩣ</dc:creator>
  <cp:lastModifiedBy>巷尾的梧桐ᥫᩣ</cp:lastModifiedBy>
  <cp:lastPrinted>2022-01-18T10:33:00Z</cp:lastPrinted>
  <dcterms:modified xsi:type="dcterms:W3CDTF">2023-02-09T04:42:32Z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4FFB3FF7FA844C5292844333956A4C68</vt:lpwstr>
  </property>
</Properties>
</file>