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ind w:firstLine="420"/>
        <w:jc w:val="both"/>
        <w:rPr>
          <w:rFonts w:ascii="宋体" w:cs="宋体"/>
        </w:rPr>
      </w:pPr>
    </w:p>
    <w:p>
      <w:pPr>
        <w:pStyle w:val="5"/>
        <w:widowControl/>
        <w:shd w:val="clear" w:color="auto" w:fill="FFFFFF"/>
        <w:spacing w:before="0" w:beforeAutospacing="0" w:after="0" w:afterAutospacing="0" w:line="640" w:lineRule="exact"/>
        <w:jc w:val="center"/>
        <w:rPr>
          <w:rFonts w:ascii="宋体" w:cs="方正小标宋简体"/>
          <w:sz w:val="44"/>
          <w:szCs w:val="44"/>
          <w:shd w:val="clear" w:color="auto" w:fill="FFFFFF"/>
        </w:rPr>
      </w:pPr>
      <w:r>
        <w:rPr>
          <w:rFonts w:hint="eastAsia" w:ascii="宋体" w:hAnsi="宋体" w:cs="方正小标宋简体"/>
          <w:sz w:val="44"/>
          <w:szCs w:val="44"/>
          <w:shd w:val="clear" w:color="auto" w:fill="FFFFFF"/>
        </w:rPr>
        <w:t>济宁市生态环境局微山县分局</w:t>
      </w:r>
    </w:p>
    <w:p>
      <w:pPr>
        <w:pStyle w:val="5"/>
        <w:widowControl/>
        <w:shd w:val="clear" w:color="auto" w:fill="FFFFFF"/>
        <w:spacing w:before="0" w:beforeAutospacing="0" w:after="0" w:afterAutospacing="0" w:line="640" w:lineRule="exact"/>
        <w:jc w:val="center"/>
        <w:rPr>
          <w:rFonts w:ascii="宋体" w:cs="方正小标宋简体"/>
          <w:sz w:val="44"/>
          <w:szCs w:val="44"/>
        </w:rPr>
      </w:pPr>
      <w:r>
        <w:rPr>
          <w:rFonts w:ascii="宋体" w:hAnsi="宋体" w:cs="方正小标宋简体"/>
          <w:sz w:val="44"/>
          <w:szCs w:val="44"/>
          <w:shd w:val="clear" w:color="auto" w:fill="FFFFFF"/>
        </w:rPr>
        <w:t>2020</w:t>
      </w:r>
      <w:r>
        <w:rPr>
          <w:rFonts w:hint="eastAsia" w:ascii="宋体" w:hAnsi="宋体" w:cs="方正小标宋简体"/>
          <w:sz w:val="44"/>
          <w:szCs w:val="44"/>
          <w:shd w:val="clear" w:color="auto" w:fill="FFFFFF"/>
        </w:rPr>
        <w:t>年度政府信息公开年度报告</w:t>
      </w:r>
    </w:p>
    <w:p>
      <w:pPr>
        <w:pStyle w:val="5"/>
        <w:widowControl/>
        <w:shd w:val="clear" w:color="auto" w:fill="FFFFFF"/>
        <w:spacing w:before="0" w:beforeAutospacing="0" w:after="0" w:afterAutospacing="0"/>
        <w:ind w:firstLine="420"/>
        <w:jc w:val="both"/>
        <w:rPr>
          <w:rFonts w:ascii="宋体" w:cs="宋体"/>
        </w:rPr>
      </w:pPr>
    </w:p>
    <w:p>
      <w:pPr>
        <w:ind w:firstLine="640" w:firstLineChars="200"/>
        <w:rPr>
          <w:rFonts w:ascii="??_GB2312" w:eastAsia="Times New Roman"/>
          <w:sz w:val="32"/>
          <w:szCs w:val="32"/>
        </w:rPr>
      </w:pPr>
    </w:p>
    <w:p>
      <w:pPr>
        <w:spacing w:line="640" w:lineRule="exact"/>
        <w:ind w:firstLine="640" w:firstLineChars="200"/>
        <w:rPr>
          <w:rFonts w:ascii="仿宋_GB2312" w:hAnsi="Times New Roman" w:eastAsia="仿宋_GB2312"/>
          <w:sz w:val="32"/>
          <w:szCs w:val="32"/>
        </w:rPr>
      </w:pPr>
      <w:r>
        <w:rPr>
          <w:rFonts w:hint="eastAsia" w:ascii="仿宋_GB2312" w:eastAsia="仿宋_GB2312"/>
          <w:sz w:val="32"/>
          <w:szCs w:val="32"/>
        </w:rPr>
        <w:t>根据新修订的《中华人民共和国政府信息公开条例》（以下简称《条例》）要求，制作济宁市生态环境局微山县分局</w:t>
      </w:r>
      <w:r>
        <w:rPr>
          <w:rFonts w:ascii="仿宋_GB2312" w:eastAsia="仿宋_GB2312"/>
          <w:sz w:val="32"/>
          <w:szCs w:val="32"/>
        </w:rPr>
        <w:t>2020</w:t>
      </w:r>
      <w:r>
        <w:rPr>
          <w:rFonts w:hint="eastAsia" w:ascii="仿宋_GB2312" w:eastAsia="仿宋_GB2312"/>
          <w:sz w:val="32"/>
          <w:szCs w:val="32"/>
        </w:rPr>
        <w:t>年度政府信息公开年度报告。本报告由总体情况、主动公开政府信息情况、收到</w:t>
      </w:r>
      <w:r>
        <w:rPr>
          <w:rFonts w:hint="eastAsia" w:ascii="仿宋_GB2312" w:hAnsi="Times New Roman" w:eastAsia="仿宋_GB2312"/>
          <w:sz w:val="32"/>
          <w:szCs w:val="32"/>
        </w:rPr>
        <w:t>和处理政府信息公开申请情况、政府信息公开行政复议行政诉讼情况、存在的主要问题及改进情况、其他需要报告的事项共六个部分组成。</w:t>
      </w:r>
    </w:p>
    <w:p>
      <w:pPr>
        <w:spacing w:line="6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本报告中所列数据的统计期限自</w:t>
      </w:r>
      <w:r>
        <w:rPr>
          <w:rFonts w:ascii="仿宋_GB2312" w:hAnsi="Times New Roman" w:eastAsia="仿宋_GB2312"/>
          <w:sz w:val="32"/>
          <w:szCs w:val="32"/>
        </w:rPr>
        <w:t>2020</w:t>
      </w:r>
      <w:r>
        <w:rPr>
          <w:rFonts w:hint="eastAsia" w:ascii="仿宋_GB2312" w:hAnsi="Times New Roman" w:eastAsia="仿宋_GB2312"/>
          <w:sz w:val="32"/>
          <w:szCs w:val="32"/>
        </w:rPr>
        <w:t>年</w:t>
      </w:r>
      <w:r>
        <w:rPr>
          <w:rFonts w:ascii="仿宋_GB2312" w:hAnsi="Times New Roman" w:eastAsia="仿宋_GB2312"/>
          <w:sz w:val="32"/>
          <w:szCs w:val="32"/>
        </w:rPr>
        <w:t>1</w:t>
      </w:r>
      <w:r>
        <w:rPr>
          <w:rFonts w:hint="eastAsia" w:ascii="仿宋_GB2312" w:hAnsi="Times New Roman" w:eastAsia="仿宋_GB2312"/>
          <w:sz w:val="32"/>
          <w:szCs w:val="32"/>
        </w:rPr>
        <w:t>月</w:t>
      </w:r>
      <w:r>
        <w:rPr>
          <w:rFonts w:ascii="仿宋_GB2312" w:hAnsi="Times New Roman" w:eastAsia="仿宋_GB2312"/>
          <w:sz w:val="32"/>
          <w:szCs w:val="32"/>
        </w:rPr>
        <w:t>1</w:t>
      </w:r>
      <w:r>
        <w:rPr>
          <w:rFonts w:hint="eastAsia" w:ascii="仿宋_GB2312" w:hAnsi="Times New Roman" w:eastAsia="仿宋_GB2312"/>
          <w:sz w:val="32"/>
          <w:szCs w:val="32"/>
        </w:rPr>
        <w:t>日起至</w:t>
      </w:r>
      <w:r>
        <w:rPr>
          <w:rFonts w:ascii="仿宋_GB2312" w:hAnsi="Times New Roman" w:eastAsia="仿宋_GB2312"/>
          <w:sz w:val="32"/>
          <w:szCs w:val="32"/>
        </w:rPr>
        <w:t>2020</w:t>
      </w:r>
      <w:r>
        <w:rPr>
          <w:rFonts w:hint="eastAsia" w:ascii="仿宋_GB2312" w:hAnsi="Times New Roman" w:eastAsia="仿宋_GB2312"/>
          <w:sz w:val="32"/>
          <w:szCs w:val="32"/>
        </w:rPr>
        <w:t>年</w:t>
      </w:r>
      <w:r>
        <w:rPr>
          <w:rFonts w:ascii="仿宋_GB2312" w:hAnsi="Times New Roman" w:eastAsia="仿宋_GB2312"/>
          <w:sz w:val="32"/>
          <w:szCs w:val="32"/>
        </w:rPr>
        <w:t>12</w:t>
      </w:r>
      <w:r>
        <w:rPr>
          <w:rFonts w:hint="eastAsia" w:ascii="仿宋_GB2312" w:hAnsi="Times New Roman" w:eastAsia="仿宋_GB2312"/>
          <w:sz w:val="32"/>
          <w:szCs w:val="32"/>
        </w:rPr>
        <w:t>月</w:t>
      </w:r>
      <w:r>
        <w:rPr>
          <w:rFonts w:ascii="仿宋_GB2312" w:hAnsi="Times New Roman" w:eastAsia="仿宋_GB2312"/>
          <w:sz w:val="32"/>
          <w:szCs w:val="32"/>
        </w:rPr>
        <w:t>31</w:t>
      </w:r>
      <w:r>
        <w:rPr>
          <w:rFonts w:hint="eastAsia" w:ascii="仿宋_GB2312" w:hAnsi="Times New Roman" w:eastAsia="仿宋_GB2312"/>
          <w:sz w:val="32"/>
          <w:szCs w:val="32"/>
        </w:rPr>
        <w:t>日止。本报告的电子版可在“微山人民政府”门户网站（</w:t>
      </w:r>
      <w:r>
        <w:fldChar w:fldCharType="begin"/>
      </w:r>
      <w:r>
        <w:instrText xml:space="preserve"> HYPERLINK "http://www.weishan.gov.cn" </w:instrText>
      </w:r>
      <w:r>
        <w:fldChar w:fldCharType="separate"/>
      </w:r>
      <w:r>
        <w:rPr>
          <w:rStyle w:val="8"/>
          <w:rFonts w:ascii="仿宋_GB2312" w:hAnsi="Times New Roman" w:eastAsia="仿宋_GB2312"/>
          <w:color w:val="auto"/>
          <w:sz w:val="32"/>
          <w:szCs w:val="32"/>
          <w:u w:val="none"/>
        </w:rPr>
        <w:t>http://www.weishan.gov.cn</w:t>
      </w:r>
      <w:r>
        <w:rPr>
          <w:rStyle w:val="8"/>
          <w:rFonts w:ascii="仿宋_GB2312" w:hAnsi="Times New Roman" w:eastAsia="仿宋_GB2312"/>
          <w:color w:val="auto"/>
          <w:sz w:val="32"/>
          <w:szCs w:val="32"/>
          <w:u w:val="none"/>
        </w:rPr>
        <w:fldChar w:fldCharType="end"/>
      </w:r>
      <w:r>
        <w:rPr>
          <w:rFonts w:hint="eastAsia" w:ascii="仿宋_GB2312" w:hAnsi="Times New Roman" w:eastAsia="仿宋_GB2312"/>
          <w:sz w:val="32"/>
          <w:szCs w:val="32"/>
        </w:rPr>
        <w:t>）下载。</w:t>
      </w:r>
    </w:p>
    <w:p>
      <w:pPr>
        <w:ind w:firstLine="640" w:firstLineChars="200"/>
        <w:rPr>
          <w:rFonts w:ascii="黑体" w:hAnsi="黑体" w:eastAsia="黑体"/>
          <w:sz w:val="32"/>
          <w:szCs w:val="32"/>
        </w:rPr>
      </w:pPr>
      <w:r>
        <w:rPr>
          <w:rFonts w:hint="eastAsia" w:ascii="黑体" w:hAnsi="黑体" w:eastAsia="黑体"/>
          <w:sz w:val="32"/>
          <w:szCs w:val="32"/>
        </w:rPr>
        <w:t>一、总体情况</w:t>
      </w:r>
    </w:p>
    <w:p>
      <w:pPr>
        <w:spacing w:line="64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坚持“公开为常态、不公开为例外”原则</w:t>
      </w: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全面落实决策、执行、管理、服务、结果“五公开”要求，夯实主动公开工作基础，规范依申请公开办理流程，</w:t>
      </w:r>
      <w:r>
        <w:rPr>
          <w:rFonts w:hint="eastAsia" w:ascii="仿宋_GB2312" w:eastAsia="仿宋_GB2312"/>
          <w:sz w:val="32"/>
          <w:szCs w:val="32"/>
        </w:rPr>
        <w:t>增强公开实效，提升群众满意度</w:t>
      </w:r>
      <w:r>
        <w:rPr>
          <w:rFonts w:hint="eastAsia" w:ascii="仿宋_GB2312" w:hAnsi="Times New Roman" w:eastAsia="仿宋_GB2312"/>
          <w:color w:val="000000"/>
          <w:sz w:val="32"/>
          <w:szCs w:val="32"/>
        </w:rPr>
        <w:t>。</w:t>
      </w:r>
    </w:p>
    <w:p>
      <w:pPr>
        <w:spacing w:line="640" w:lineRule="exact"/>
        <w:ind w:firstLine="472" w:firstLineChars="147"/>
        <w:rPr>
          <w:rFonts w:ascii="仿宋_GB2312" w:hAnsi="Times New Roman" w:eastAsia="仿宋_GB2312"/>
          <w:color w:val="000000"/>
          <w:sz w:val="32"/>
          <w:szCs w:val="32"/>
        </w:rPr>
      </w:pPr>
      <w:r>
        <w:rPr>
          <w:rFonts w:hint="eastAsia" w:ascii="楷体_GB2312" w:eastAsia="楷体_GB2312"/>
          <w:b/>
          <w:sz w:val="32"/>
          <w:szCs w:val="32"/>
        </w:rPr>
        <w:t>（一）完善政务公开机制。</w:t>
      </w:r>
      <w:r>
        <w:rPr>
          <w:rFonts w:hint="eastAsia" w:ascii="仿宋_GB2312" w:hAnsi="Times New Roman" w:eastAsia="仿宋_GB2312"/>
          <w:color w:val="000000"/>
          <w:sz w:val="32"/>
          <w:szCs w:val="32"/>
        </w:rPr>
        <w:t>调整充实政务公开领导小组，规范政府信息依申请公开工作规程，根据《生态环境领域基层政务公开标准指引》并结合工作实际，修订主动公开目录，制定并公布公开目录</w:t>
      </w:r>
      <w:r>
        <w:rPr>
          <w:rFonts w:ascii="仿宋_GB2312" w:hAnsi="Times New Roman" w:eastAsia="仿宋_GB2312"/>
          <w:color w:val="000000"/>
          <w:sz w:val="32"/>
          <w:szCs w:val="32"/>
        </w:rPr>
        <w:t>24</w:t>
      </w:r>
      <w:r>
        <w:rPr>
          <w:rFonts w:hint="eastAsia" w:ascii="仿宋_GB2312" w:hAnsi="Times New Roman" w:eastAsia="仿宋_GB2312"/>
          <w:color w:val="000000"/>
          <w:sz w:val="32"/>
          <w:szCs w:val="32"/>
        </w:rPr>
        <w:t>项。将政务公开相关要求纳入公文和会议办理程序中，在公文起草阶段明确公文属性，对会议议定事项解读公开，确保“五公开”落到实处。</w:t>
      </w:r>
    </w:p>
    <w:p>
      <w:pPr>
        <w:autoSpaceDE w:val="0"/>
        <w:autoSpaceDN w:val="0"/>
        <w:adjustRightInd w:val="0"/>
        <w:spacing w:line="640" w:lineRule="exact"/>
        <w:ind w:firstLine="643" w:firstLineChars="200"/>
        <w:jc w:val="left"/>
        <w:rPr>
          <w:rFonts w:ascii="仿宋_GB2312" w:hAnsi="Times New Roman" w:eastAsia="仿宋_GB2312"/>
          <w:color w:val="000000"/>
          <w:sz w:val="32"/>
          <w:szCs w:val="32"/>
        </w:rPr>
      </w:pPr>
      <w:r>
        <w:rPr>
          <w:rFonts w:hint="eastAsia" w:ascii="楷体_GB2312" w:eastAsia="楷体_GB2312"/>
          <w:b/>
          <w:sz w:val="32"/>
          <w:szCs w:val="32"/>
        </w:rPr>
        <w:t>（二）落实主动公开。</w:t>
      </w:r>
      <w:r>
        <w:rPr>
          <w:rFonts w:ascii="仿宋_GB2312" w:hAnsi="等线" w:eastAsia="仿宋_GB2312"/>
          <w:sz w:val="32"/>
          <w:szCs w:val="32"/>
        </w:rPr>
        <w:t>2020</w:t>
      </w:r>
      <w:r>
        <w:rPr>
          <w:rFonts w:hint="eastAsia" w:ascii="仿宋_GB2312" w:hAnsi="等线" w:eastAsia="仿宋_GB2312"/>
          <w:sz w:val="32"/>
          <w:szCs w:val="32"/>
        </w:rPr>
        <w:t>年，通过微山县人民政府网站发布信息</w:t>
      </w:r>
      <w:r>
        <w:rPr>
          <w:rFonts w:ascii="仿宋_GB2312" w:hAnsi="等线" w:eastAsia="仿宋_GB2312"/>
          <w:sz w:val="32"/>
          <w:szCs w:val="32"/>
        </w:rPr>
        <w:t>143</w:t>
      </w:r>
      <w:r>
        <w:rPr>
          <w:rFonts w:hint="eastAsia" w:ascii="仿宋_GB2312" w:hAnsi="等线" w:eastAsia="仿宋_GB2312"/>
          <w:sz w:val="32"/>
          <w:szCs w:val="32"/>
        </w:rPr>
        <w:t>条，包括机构职能、领导信息、政策文件、权责清单、财政预决算等信息。加强</w:t>
      </w:r>
      <w:r>
        <w:rPr>
          <w:rFonts w:hint="eastAsia" w:ascii="仿宋_GB2312" w:hAnsi="Times New Roman" w:eastAsia="仿宋_GB2312"/>
          <w:color w:val="000000"/>
          <w:sz w:val="32"/>
          <w:szCs w:val="32"/>
        </w:rPr>
        <w:t>行政许可、行政处罚“双公示”，制定公示流程，确保公示准确全面及时。</w:t>
      </w:r>
      <w:r>
        <w:rPr>
          <w:rFonts w:ascii="仿宋_GB2312" w:hAnsi="等线" w:eastAsia="仿宋_GB2312"/>
          <w:sz w:val="32"/>
          <w:szCs w:val="32"/>
        </w:rPr>
        <w:t>2020</w:t>
      </w:r>
      <w:r>
        <w:rPr>
          <w:rFonts w:hint="eastAsia" w:ascii="仿宋_GB2312" w:hAnsi="等线" w:eastAsia="仿宋_GB2312"/>
          <w:sz w:val="32"/>
          <w:szCs w:val="32"/>
        </w:rPr>
        <w:t>年，济宁市生态环境局微山县分局共承办人大建议</w:t>
      </w:r>
      <w:r>
        <w:rPr>
          <w:rFonts w:ascii="仿宋_GB2312" w:hAnsi="等线" w:eastAsia="仿宋_GB2312"/>
          <w:sz w:val="32"/>
          <w:szCs w:val="32"/>
        </w:rPr>
        <w:t>0</w:t>
      </w:r>
      <w:r>
        <w:rPr>
          <w:rFonts w:hint="eastAsia" w:ascii="仿宋_GB2312" w:hAnsi="等线" w:eastAsia="仿宋_GB2312"/>
          <w:sz w:val="32"/>
          <w:szCs w:val="32"/>
        </w:rPr>
        <w:t>件</w:t>
      </w:r>
      <w:r>
        <w:rPr>
          <w:rFonts w:ascii="仿宋_GB2312" w:hAnsi="等线" w:eastAsia="仿宋_GB2312"/>
          <w:sz w:val="32"/>
          <w:szCs w:val="32"/>
        </w:rPr>
        <w:t>,</w:t>
      </w:r>
      <w:r>
        <w:rPr>
          <w:rFonts w:hint="eastAsia" w:ascii="仿宋_GB2312" w:hAnsi="等线" w:eastAsia="仿宋_GB2312"/>
          <w:sz w:val="32"/>
          <w:szCs w:val="32"/>
        </w:rPr>
        <w:t>政协提案</w:t>
      </w:r>
      <w:r>
        <w:rPr>
          <w:rFonts w:ascii="仿宋_GB2312" w:hAnsi="等线" w:eastAsia="仿宋_GB2312"/>
          <w:sz w:val="32"/>
          <w:szCs w:val="32"/>
        </w:rPr>
        <w:t>1</w:t>
      </w:r>
      <w:r>
        <w:rPr>
          <w:rFonts w:hint="eastAsia" w:ascii="仿宋_GB2312" w:hAnsi="等线" w:eastAsia="仿宋_GB2312"/>
          <w:sz w:val="32"/>
          <w:szCs w:val="32"/>
        </w:rPr>
        <w:t>件</w:t>
      </w:r>
      <w:r>
        <w:rPr>
          <w:rFonts w:ascii="仿宋_GB2312" w:hAnsi="等线" w:eastAsia="仿宋_GB2312"/>
          <w:sz w:val="32"/>
          <w:szCs w:val="32"/>
        </w:rPr>
        <w:t>,</w:t>
      </w:r>
      <w:r>
        <w:rPr>
          <w:rFonts w:hint="eastAsia" w:ascii="仿宋_GB2312" w:hAnsi="等线" w:eastAsia="仿宋_GB2312"/>
          <w:sz w:val="32"/>
          <w:szCs w:val="32"/>
        </w:rPr>
        <w:t>办理结果公开</w:t>
      </w:r>
      <w:r>
        <w:rPr>
          <w:rFonts w:ascii="仿宋_GB2312" w:hAnsi="等线" w:eastAsia="仿宋_GB2312"/>
          <w:sz w:val="32"/>
          <w:szCs w:val="32"/>
        </w:rPr>
        <w:t>1</w:t>
      </w:r>
      <w:r>
        <w:rPr>
          <w:rFonts w:hint="eastAsia" w:ascii="仿宋_GB2312" w:hAnsi="等线" w:eastAsia="仿宋_GB2312"/>
          <w:sz w:val="32"/>
          <w:szCs w:val="32"/>
        </w:rPr>
        <w:t>件</w:t>
      </w:r>
      <w:r>
        <w:rPr>
          <w:rFonts w:ascii="仿宋_GB2312" w:hAnsi="等线" w:eastAsia="仿宋_GB2312"/>
          <w:sz w:val="32"/>
          <w:szCs w:val="32"/>
        </w:rPr>
        <w:t>,</w:t>
      </w:r>
      <w:r>
        <w:rPr>
          <w:rFonts w:hint="eastAsia" w:ascii="仿宋_GB2312" w:eastAsia="仿宋_GB2312"/>
          <w:sz w:val="32"/>
          <w:szCs w:val="32"/>
        </w:rPr>
        <w:t>并公开整体办理情况。</w:t>
      </w:r>
      <w:r>
        <w:rPr>
          <w:rFonts w:hint="eastAsia" w:ascii="仿宋_GB2312" w:hAnsi="Times New Roman" w:eastAsia="仿宋_GB2312"/>
          <w:color w:val="000000"/>
          <w:sz w:val="32"/>
          <w:szCs w:val="32"/>
        </w:rPr>
        <w:t>推进政策执行和落实公开，按季度公开政府工作报告工作完成情况，公开</w:t>
      </w:r>
      <w:r>
        <w:rPr>
          <w:rFonts w:ascii="仿宋_GB2312" w:hAnsi="等线" w:eastAsia="仿宋_GB2312"/>
          <w:sz w:val="32"/>
          <w:szCs w:val="32"/>
        </w:rPr>
        <w:t>2020</w:t>
      </w:r>
      <w:r>
        <w:rPr>
          <w:rFonts w:hint="eastAsia" w:ascii="仿宋_GB2312" w:hAnsi="等线" w:eastAsia="仿宋_GB2312"/>
          <w:sz w:val="32"/>
          <w:szCs w:val="32"/>
        </w:rPr>
        <w:t>年重点任务公开承诺事项等重要政策措施、重点</w:t>
      </w:r>
      <w:r>
        <w:rPr>
          <w:rFonts w:hint="eastAsia" w:ascii="仿宋_GB2312" w:hAnsi="Times New Roman" w:eastAsia="仿宋_GB2312"/>
          <w:color w:val="000000"/>
          <w:sz w:val="32"/>
          <w:szCs w:val="32"/>
        </w:rPr>
        <w:t>工作任务的实施步骤、具体措施、责任分工、工作进展、工作成效等。</w:t>
      </w:r>
    </w:p>
    <w:p>
      <w:pPr>
        <w:spacing w:line="640" w:lineRule="exact"/>
        <w:ind w:firstLine="643" w:firstLineChars="200"/>
        <w:rPr>
          <w:rFonts w:ascii="仿宋_GB2312" w:eastAsia="仿宋_GB2312"/>
          <w:sz w:val="32"/>
          <w:szCs w:val="32"/>
        </w:rPr>
      </w:pPr>
      <w:r>
        <w:rPr>
          <w:rFonts w:hint="eastAsia" w:ascii="楷体_GB2312" w:eastAsia="楷体_GB2312"/>
          <w:b/>
          <w:sz w:val="32"/>
          <w:szCs w:val="32"/>
        </w:rPr>
        <w:t>（三）突出环境领域信息公开。</w:t>
      </w:r>
      <w:r>
        <w:rPr>
          <w:rFonts w:ascii="仿宋_GB2312" w:eastAsia="仿宋_GB2312"/>
          <w:sz w:val="32"/>
          <w:szCs w:val="32"/>
        </w:rPr>
        <w:t>1</w:t>
      </w:r>
      <w:r>
        <w:rPr>
          <w:rFonts w:hint="eastAsia" w:ascii="仿宋_GB2312" w:eastAsia="仿宋_GB2312"/>
          <w:sz w:val="32"/>
          <w:szCs w:val="32"/>
        </w:rPr>
        <w:t>、</w:t>
      </w:r>
      <w:r>
        <w:rPr>
          <w:rFonts w:hint="eastAsia" w:ascii="仿宋_GB2312" w:hAnsi="微软雅黑" w:eastAsia="仿宋_GB2312" w:cs="宋体"/>
          <w:bCs/>
          <w:kern w:val="0"/>
          <w:sz w:val="32"/>
          <w:szCs w:val="32"/>
        </w:rPr>
        <w:t>环境</w:t>
      </w:r>
      <w:r>
        <w:rPr>
          <w:rFonts w:hint="eastAsia" w:ascii="仿宋_GB2312" w:hAnsi="Times New Roman" w:eastAsia="仿宋_GB2312"/>
          <w:bCs/>
          <w:kern w:val="0"/>
          <w:sz w:val="32"/>
          <w:szCs w:val="32"/>
        </w:rPr>
        <w:t>质量</w:t>
      </w:r>
      <w:r>
        <w:rPr>
          <w:rFonts w:hint="eastAsia" w:ascii="仿宋_GB2312" w:hAnsi="Times New Roman" w:eastAsia="仿宋_GB2312"/>
          <w:kern w:val="0"/>
          <w:sz w:val="32"/>
          <w:szCs w:val="32"/>
        </w:rPr>
        <w:t>信息公开。</w:t>
      </w:r>
      <w:r>
        <w:rPr>
          <w:rFonts w:hint="eastAsia" w:ascii="仿宋_GB2312" w:hAnsi="等线" w:eastAsia="仿宋_GB2312"/>
          <w:sz w:val="32"/>
          <w:szCs w:val="32"/>
        </w:rPr>
        <w:t>每月公布各乡镇环境空气质量情况和全县环境空气质量状况及各乡镇（街道）、开发区排名；及时公开重污染天气预警的发布、调整与解除，发布微山县</w:t>
      </w:r>
      <w:r>
        <w:rPr>
          <w:rFonts w:ascii="仿宋_GB2312" w:hAnsi="等线" w:eastAsia="仿宋_GB2312"/>
          <w:sz w:val="32"/>
          <w:szCs w:val="32"/>
        </w:rPr>
        <w:t>2020</w:t>
      </w:r>
      <w:r>
        <w:rPr>
          <w:rFonts w:hint="eastAsia" w:ascii="仿宋_GB2312" w:hAnsi="等线" w:eastAsia="仿宋_GB2312"/>
          <w:sz w:val="32"/>
          <w:szCs w:val="32"/>
        </w:rPr>
        <w:t>年重污染天气应急减排清单及重点行业企业绩效分级评估结果。按照《全国集中式生活饮用水水源地水质监测实施方案》和《济宁市集中式生活饮用水水源地水质监测信息公开方案》的要求，每半年一次</w:t>
      </w:r>
      <w:r>
        <w:rPr>
          <w:rFonts w:hint="eastAsia" w:ascii="仿宋_GB2312" w:hAnsi="inherit" w:eastAsia="仿宋_GB2312" w:cs="宋体"/>
          <w:kern w:val="0"/>
          <w:sz w:val="32"/>
          <w:szCs w:val="32"/>
        </w:rPr>
        <w:t>发布全市集中式饮用水水源地监测信息报告。</w:t>
      </w:r>
      <w:r>
        <w:rPr>
          <w:rFonts w:hint="eastAsia" w:ascii="仿宋_GB2312" w:hAnsi="Times New Roman" w:eastAsia="仿宋_GB2312"/>
          <w:kern w:val="0"/>
          <w:sz w:val="32"/>
          <w:szCs w:val="32"/>
        </w:rPr>
        <w:t>在</w:t>
      </w:r>
      <w:r>
        <w:rPr>
          <w:rFonts w:hint="eastAsia" w:ascii="仿宋_GB2312" w:hAnsi="微软雅黑" w:eastAsia="仿宋_GB2312" w:cs="宋体"/>
          <w:bCs/>
          <w:kern w:val="0"/>
          <w:sz w:val="32"/>
          <w:szCs w:val="32"/>
        </w:rPr>
        <w:t>建设项目环境影响评价</w:t>
      </w:r>
      <w:r>
        <w:rPr>
          <w:rFonts w:hint="eastAsia" w:ascii="仿宋_GB2312" w:hAnsi="Times New Roman" w:eastAsia="仿宋_GB2312"/>
          <w:kern w:val="0"/>
          <w:sz w:val="32"/>
          <w:szCs w:val="32"/>
        </w:rPr>
        <w:t>信息公开方面，多渠道公开政务服务事项办事指南信息，推进审批过程信息公开。</w:t>
      </w:r>
      <w:r>
        <w:rPr>
          <w:rFonts w:ascii="仿宋_GB2312" w:hAnsi="Times New Roman" w:eastAsia="仿宋_GB2312"/>
          <w:kern w:val="0"/>
          <w:sz w:val="32"/>
          <w:szCs w:val="32"/>
        </w:rPr>
        <w:t>2020</w:t>
      </w:r>
      <w:r>
        <w:rPr>
          <w:rFonts w:hint="eastAsia" w:ascii="仿宋_GB2312" w:hAnsi="Times New Roman" w:eastAsia="仿宋_GB2312"/>
          <w:kern w:val="0"/>
          <w:sz w:val="32"/>
          <w:szCs w:val="32"/>
        </w:rPr>
        <w:t>年，在山东政务服务网公开项目受理、拟审批、审批决定信息</w:t>
      </w:r>
      <w:r>
        <w:rPr>
          <w:rFonts w:ascii="仿宋_GB2312" w:hAnsi="Times New Roman" w:eastAsia="仿宋_GB2312"/>
          <w:kern w:val="0"/>
          <w:sz w:val="32"/>
          <w:szCs w:val="32"/>
        </w:rPr>
        <w:t>220</w:t>
      </w:r>
      <w:r>
        <w:rPr>
          <w:rFonts w:hint="eastAsia" w:ascii="仿宋_GB2312" w:hAnsi="Times New Roman" w:eastAsia="仿宋_GB2312"/>
          <w:kern w:val="0"/>
          <w:sz w:val="32"/>
          <w:szCs w:val="32"/>
        </w:rPr>
        <w:t>条。在山东政务服务网行政许可办理结果公示信息</w:t>
      </w:r>
      <w:r>
        <w:rPr>
          <w:rFonts w:ascii="仿宋_GB2312" w:hAnsi="Times New Roman" w:eastAsia="仿宋_GB2312"/>
          <w:kern w:val="0"/>
          <w:sz w:val="32"/>
          <w:szCs w:val="32"/>
        </w:rPr>
        <w:t>146</w:t>
      </w:r>
      <w:r>
        <w:rPr>
          <w:rFonts w:hint="eastAsia" w:ascii="仿宋_GB2312" w:hAnsi="Times New Roman" w:eastAsia="仿宋_GB2312"/>
          <w:kern w:val="0"/>
          <w:sz w:val="32"/>
          <w:szCs w:val="32"/>
        </w:rPr>
        <w:t>条。根据（济信用办</w:t>
      </w:r>
      <w:r>
        <w:rPr>
          <w:rFonts w:ascii="仿宋_GB2312" w:hAnsi="Times New Roman" w:eastAsia="仿宋_GB2312"/>
          <w:kern w:val="0"/>
          <w:sz w:val="32"/>
          <w:szCs w:val="32"/>
        </w:rPr>
        <w:t>{2021}2</w:t>
      </w:r>
      <w:r>
        <w:rPr>
          <w:rFonts w:hint="eastAsia" w:ascii="仿宋_GB2312" w:hAnsi="Times New Roman" w:eastAsia="仿宋_GB2312"/>
          <w:kern w:val="0"/>
          <w:sz w:val="32"/>
          <w:szCs w:val="32"/>
        </w:rPr>
        <w:t>号）关于建立《济宁市“双公示”工作督导通报机制》的通知规定，已通过山东政务服务网办理的许可事项，无须重复在信用济宁双公示系统申报。</w:t>
      </w:r>
      <w:r>
        <w:rPr>
          <w:rFonts w:ascii="仿宋_GB2312" w:hAnsi="Times New Roman" w:eastAsia="仿宋_GB2312"/>
          <w:kern w:val="0"/>
          <w:sz w:val="32"/>
          <w:szCs w:val="32"/>
        </w:rPr>
        <w:t>2</w:t>
      </w:r>
      <w:r>
        <w:rPr>
          <w:rFonts w:hint="eastAsia" w:ascii="仿宋_GB2312" w:hAnsi="Times New Roman" w:eastAsia="仿宋_GB2312"/>
          <w:kern w:val="0"/>
          <w:sz w:val="32"/>
          <w:szCs w:val="32"/>
        </w:rPr>
        <w:t>、</w:t>
      </w:r>
      <w:r>
        <w:rPr>
          <w:rFonts w:hint="eastAsia" w:ascii="仿宋_GB2312" w:hAnsi="Times New Roman" w:eastAsia="仿宋_GB2312"/>
          <w:bCs/>
          <w:kern w:val="0"/>
          <w:sz w:val="32"/>
          <w:szCs w:val="32"/>
        </w:rPr>
        <w:t>环境执法公示</w:t>
      </w:r>
      <w:r>
        <w:rPr>
          <w:rFonts w:hint="eastAsia" w:ascii="仿宋_GB2312" w:hAnsi="Times New Roman" w:eastAsia="仿宋_GB2312"/>
          <w:kern w:val="0"/>
          <w:sz w:val="32"/>
          <w:szCs w:val="32"/>
        </w:rPr>
        <w:t>。</w:t>
      </w:r>
      <w:r>
        <w:rPr>
          <w:rFonts w:hint="eastAsia" w:ascii="仿宋_GB2312" w:hAnsi="宋体" w:eastAsia="仿宋_GB2312" w:cs="宋体"/>
          <w:sz w:val="32"/>
          <w:szCs w:val="32"/>
        </w:rPr>
        <w:t>严格按照行政执法事前、事中和事后公示要求，及时公开执法规范流程、行政处罚案件办理情况和</w:t>
      </w:r>
      <w:r>
        <w:rPr>
          <w:rFonts w:hint="eastAsia" w:ascii="仿宋_GB2312" w:hAnsi="??_GB2312" w:eastAsia="仿宋_GB2312" w:cs="??_GB2312"/>
          <w:sz w:val="32"/>
          <w:szCs w:val="32"/>
        </w:rPr>
        <w:t>“</w:t>
      </w:r>
      <w:r>
        <w:rPr>
          <w:rFonts w:hint="eastAsia" w:ascii="仿宋_GB2312" w:hAnsi="宋体" w:eastAsia="仿宋_GB2312" w:cs="宋体"/>
          <w:sz w:val="32"/>
          <w:szCs w:val="32"/>
        </w:rPr>
        <w:t>双随机、一公开</w:t>
      </w:r>
      <w:r>
        <w:rPr>
          <w:rFonts w:hint="eastAsia" w:ascii="仿宋_GB2312" w:hAnsi="??_GB2312" w:eastAsia="仿宋_GB2312" w:cs="??_GB2312"/>
          <w:sz w:val="32"/>
          <w:szCs w:val="32"/>
        </w:rPr>
        <w:t>”</w:t>
      </w:r>
      <w:r>
        <w:rPr>
          <w:rFonts w:hint="eastAsia" w:ascii="仿宋_GB2312" w:hAnsi="宋体" w:eastAsia="仿宋_GB2312" w:cs="宋体"/>
          <w:sz w:val="32"/>
          <w:szCs w:val="32"/>
        </w:rPr>
        <w:t>监管随机抽查事项清单和检查情况，接受群众监督。</w:t>
      </w:r>
      <w:r>
        <w:rPr>
          <w:rFonts w:ascii="仿宋_GB2312" w:hAnsi="??_GB2312" w:eastAsia="仿宋_GB2312" w:cs="??_GB2312"/>
          <w:sz w:val="32"/>
          <w:szCs w:val="32"/>
        </w:rPr>
        <w:t>2020</w:t>
      </w:r>
      <w:r>
        <w:rPr>
          <w:rFonts w:hint="eastAsia" w:ascii="仿宋_GB2312" w:hAnsi="宋体" w:eastAsia="仿宋_GB2312" w:cs="宋体"/>
          <w:sz w:val="32"/>
          <w:szCs w:val="32"/>
        </w:rPr>
        <w:t>年共立案查处环境违法案件</w:t>
      </w:r>
      <w:r>
        <w:rPr>
          <w:rFonts w:ascii="仿宋_GB2312" w:hAnsi="??_GB2312" w:eastAsia="仿宋_GB2312" w:cs="??_GB2312"/>
          <w:sz w:val="32"/>
          <w:szCs w:val="32"/>
        </w:rPr>
        <w:t>132</w:t>
      </w:r>
      <w:r>
        <w:rPr>
          <w:rFonts w:hint="eastAsia" w:ascii="仿宋_GB2312" w:hAnsi="宋体" w:eastAsia="仿宋_GB2312" w:cs="宋体"/>
          <w:sz w:val="32"/>
          <w:szCs w:val="32"/>
        </w:rPr>
        <w:t>件，罚款人民币</w:t>
      </w:r>
      <w:r>
        <w:rPr>
          <w:rFonts w:ascii="仿宋_GB2312" w:hAnsi="??_GB2312" w:eastAsia="仿宋_GB2312" w:cs="??_GB2312"/>
          <w:sz w:val="32"/>
          <w:szCs w:val="32"/>
        </w:rPr>
        <w:t>403.6966</w:t>
      </w:r>
      <w:r>
        <w:rPr>
          <w:rFonts w:hint="eastAsia" w:ascii="仿宋_GB2312" w:hAnsi="宋体" w:eastAsia="仿宋_GB2312" w:cs="宋体"/>
          <w:sz w:val="32"/>
          <w:szCs w:val="32"/>
        </w:rPr>
        <w:t>万元。抽查污染源企业</w:t>
      </w:r>
      <w:r>
        <w:rPr>
          <w:rFonts w:ascii="仿宋_GB2312" w:hAnsi="??_GB2312" w:eastAsia="仿宋_GB2312" w:cs="??_GB2312"/>
          <w:sz w:val="32"/>
          <w:szCs w:val="32"/>
        </w:rPr>
        <w:t>223</w:t>
      </w:r>
      <w:r>
        <w:rPr>
          <w:rFonts w:hint="eastAsia" w:ascii="仿宋_GB2312" w:hAnsi="宋体" w:eastAsia="仿宋_GB2312" w:cs="宋体"/>
          <w:sz w:val="32"/>
          <w:szCs w:val="32"/>
        </w:rPr>
        <w:t>家，其中重点污染源</w:t>
      </w:r>
      <w:r>
        <w:rPr>
          <w:rFonts w:ascii="仿宋_GB2312" w:hAnsi="??_GB2312" w:eastAsia="仿宋_GB2312" w:cs="??_GB2312"/>
          <w:sz w:val="32"/>
          <w:szCs w:val="32"/>
        </w:rPr>
        <w:t>48</w:t>
      </w:r>
      <w:r>
        <w:rPr>
          <w:rFonts w:hint="eastAsia" w:ascii="仿宋_GB2312" w:hAnsi="宋体" w:eastAsia="仿宋_GB2312" w:cs="宋体"/>
          <w:sz w:val="32"/>
          <w:szCs w:val="32"/>
        </w:rPr>
        <w:t>家，一般污染源</w:t>
      </w:r>
      <w:r>
        <w:rPr>
          <w:rFonts w:ascii="仿宋_GB2312" w:hAnsi="??_GB2312" w:eastAsia="仿宋_GB2312" w:cs="??_GB2312"/>
          <w:sz w:val="32"/>
          <w:szCs w:val="32"/>
        </w:rPr>
        <w:t>175</w:t>
      </w:r>
      <w:r>
        <w:rPr>
          <w:rFonts w:hint="eastAsia" w:ascii="仿宋_GB2312" w:hAnsi="宋体" w:eastAsia="仿宋_GB2312" w:cs="宋体"/>
          <w:sz w:val="32"/>
          <w:szCs w:val="32"/>
        </w:rPr>
        <w:t>家，抽查情况均在政府政务公开网站</w:t>
      </w:r>
      <w:r>
        <w:rPr>
          <w:rFonts w:hint="eastAsia" w:ascii="仿宋_GB2312" w:hAnsi="??_GB2312" w:eastAsia="仿宋_GB2312" w:cs="??_GB2312"/>
          <w:sz w:val="32"/>
          <w:szCs w:val="32"/>
        </w:rPr>
        <w:t>“</w:t>
      </w:r>
      <w:r>
        <w:rPr>
          <w:rFonts w:hint="eastAsia" w:ascii="仿宋_GB2312" w:hAnsi="宋体" w:eastAsia="仿宋_GB2312" w:cs="宋体"/>
          <w:sz w:val="32"/>
          <w:szCs w:val="32"/>
        </w:rPr>
        <w:t>双随机、一公开</w:t>
      </w:r>
      <w:r>
        <w:rPr>
          <w:rFonts w:hint="eastAsia" w:ascii="仿宋_GB2312" w:hAnsi="??_GB2312" w:eastAsia="仿宋_GB2312" w:cs="??_GB2312"/>
          <w:sz w:val="32"/>
          <w:szCs w:val="32"/>
        </w:rPr>
        <w:t>”</w:t>
      </w:r>
      <w:r>
        <w:rPr>
          <w:rFonts w:hint="eastAsia" w:ascii="仿宋_GB2312" w:hAnsi="宋体" w:eastAsia="仿宋_GB2312" w:cs="宋体"/>
          <w:sz w:val="32"/>
          <w:szCs w:val="32"/>
        </w:rPr>
        <w:t>专栏进行了公示。</w:t>
      </w:r>
    </w:p>
    <w:p>
      <w:pPr>
        <w:spacing w:line="640" w:lineRule="exact"/>
        <w:ind w:firstLine="643" w:firstLineChars="200"/>
        <w:rPr>
          <w:rFonts w:ascii="仿宋_GB2312" w:eastAsia="仿宋_GB2312"/>
          <w:b/>
          <w:sz w:val="32"/>
          <w:szCs w:val="32"/>
        </w:rPr>
      </w:pPr>
      <w:r>
        <w:rPr>
          <w:rFonts w:hint="eastAsia" w:ascii="楷体_GB2312" w:eastAsia="楷体_GB2312"/>
          <w:b/>
          <w:sz w:val="32"/>
          <w:szCs w:val="32"/>
        </w:rPr>
        <w:t>（四）推进平台建设。</w:t>
      </w:r>
      <w:r>
        <w:rPr>
          <w:rFonts w:hint="eastAsia" w:ascii="仿宋_GB2312" w:hAnsi="宋体" w:eastAsia="仿宋_GB2312" w:cs="宋体"/>
          <w:kern w:val="0"/>
          <w:sz w:val="32"/>
          <w:szCs w:val="32"/>
        </w:rPr>
        <w:t>传统媒体、新媒体双向发力，</w:t>
      </w:r>
      <w:r>
        <w:rPr>
          <w:rFonts w:hint="eastAsia" w:ascii="仿宋_GB2312" w:hAnsi="Times New Roman" w:eastAsia="仿宋_GB2312"/>
          <w:sz w:val="32"/>
          <w:szCs w:val="32"/>
        </w:rPr>
        <w:t>提升政府信息公开平台功能，规范栏目设置及内容发布。</w:t>
      </w:r>
      <w:r>
        <w:rPr>
          <w:rFonts w:hint="eastAsia" w:ascii="仿宋_GB2312" w:hAnsi="等线" w:eastAsia="仿宋_GB2312"/>
          <w:sz w:val="32"/>
          <w:szCs w:val="32"/>
        </w:rPr>
        <w:t>“微山环保”微博发布各类信息</w:t>
      </w:r>
      <w:r>
        <w:rPr>
          <w:rFonts w:ascii="仿宋_GB2312" w:hAnsi="等线" w:eastAsia="仿宋_GB2312"/>
          <w:sz w:val="32"/>
          <w:szCs w:val="32"/>
        </w:rPr>
        <w:t>8000</w:t>
      </w:r>
      <w:r>
        <w:rPr>
          <w:rFonts w:hint="eastAsia" w:ascii="仿宋_GB2312" w:hAnsi="等线" w:eastAsia="仿宋_GB2312"/>
          <w:sz w:val="32"/>
          <w:szCs w:val="32"/>
        </w:rPr>
        <w:t>余条（原创</w:t>
      </w:r>
      <w:r>
        <w:rPr>
          <w:rFonts w:ascii="仿宋_GB2312" w:hAnsi="等线" w:eastAsia="仿宋_GB2312"/>
          <w:sz w:val="32"/>
          <w:szCs w:val="32"/>
        </w:rPr>
        <w:t>268</w:t>
      </w:r>
      <w:r>
        <w:rPr>
          <w:rFonts w:hint="eastAsia" w:ascii="仿宋_GB2312" w:hAnsi="等线" w:eastAsia="仿宋_GB2312"/>
          <w:sz w:val="32"/>
          <w:szCs w:val="32"/>
        </w:rPr>
        <w:t>条），总点击量</w:t>
      </w:r>
      <w:r>
        <w:rPr>
          <w:rFonts w:ascii="仿宋_GB2312" w:hAnsi="等线" w:eastAsia="仿宋_GB2312"/>
          <w:sz w:val="32"/>
          <w:szCs w:val="32"/>
        </w:rPr>
        <w:t>1000</w:t>
      </w:r>
      <w:r>
        <w:rPr>
          <w:rFonts w:hint="eastAsia" w:ascii="仿宋_GB2312" w:hAnsi="等线" w:eastAsia="仿宋_GB2312"/>
          <w:sz w:val="32"/>
          <w:szCs w:val="32"/>
        </w:rPr>
        <w:t>余万次；“微山环保”微信公众号共发布图文信息</w:t>
      </w:r>
      <w:r>
        <w:rPr>
          <w:rFonts w:ascii="仿宋_GB2312" w:hAnsi="等线" w:eastAsia="仿宋_GB2312"/>
          <w:sz w:val="32"/>
          <w:szCs w:val="32"/>
        </w:rPr>
        <w:t>46</w:t>
      </w:r>
      <w:r>
        <w:rPr>
          <w:rFonts w:hint="eastAsia" w:ascii="仿宋_GB2312" w:hAnsi="等线" w:eastAsia="仿宋_GB2312"/>
          <w:sz w:val="32"/>
          <w:szCs w:val="32"/>
        </w:rPr>
        <w:t>期</w:t>
      </w:r>
      <w:r>
        <w:rPr>
          <w:rFonts w:ascii="仿宋_GB2312" w:hAnsi="等线" w:eastAsia="仿宋_GB2312"/>
          <w:sz w:val="32"/>
          <w:szCs w:val="32"/>
        </w:rPr>
        <w:t>87</w:t>
      </w:r>
      <w:r>
        <w:rPr>
          <w:rFonts w:hint="eastAsia" w:ascii="仿宋_GB2312" w:hAnsi="等线" w:eastAsia="仿宋_GB2312"/>
          <w:sz w:val="32"/>
          <w:szCs w:val="32"/>
        </w:rPr>
        <w:t>篇（原创</w:t>
      </w:r>
      <w:r>
        <w:rPr>
          <w:rFonts w:ascii="仿宋_GB2312" w:hAnsi="等线" w:eastAsia="仿宋_GB2312"/>
          <w:sz w:val="32"/>
          <w:szCs w:val="32"/>
        </w:rPr>
        <w:t>36</w:t>
      </w:r>
      <w:r>
        <w:rPr>
          <w:rFonts w:hint="eastAsia" w:ascii="仿宋_GB2312" w:hAnsi="等线" w:eastAsia="仿宋_GB2312"/>
          <w:sz w:val="32"/>
          <w:szCs w:val="32"/>
        </w:rPr>
        <w:t>篇），总阅读量</w:t>
      </w:r>
      <w:r>
        <w:rPr>
          <w:rFonts w:ascii="仿宋_GB2312" w:hAnsi="等线" w:eastAsia="仿宋_GB2312"/>
          <w:sz w:val="32"/>
          <w:szCs w:val="32"/>
        </w:rPr>
        <w:t>3975</w:t>
      </w:r>
      <w:r>
        <w:rPr>
          <w:rFonts w:hint="eastAsia" w:ascii="仿宋_GB2312" w:hAnsi="等线" w:eastAsia="仿宋_GB2312"/>
          <w:sz w:val="32"/>
          <w:szCs w:val="32"/>
        </w:rPr>
        <w:t>次。在全市生态环境系统微信、微博账号中位于中间位次。</w:t>
      </w:r>
    </w:p>
    <w:p>
      <w:pPr>
        <w:spacing w:line="640" w:lineRule="exact"/>
        <w:ind w:firstLine="643" w:firstLineChars="200"/>
        <w:rPr>
          <w:rFonts w:ascii="仿宋_GB2312" w:hAnsi="Times New Roman" w:eastAsia="仿宋_GB2312"/>
          <w:sz w:val="32"/>
          <w:szCs w:val="32"/>
        </w:rPr>
      </w:pPr>
      <w:r>
        <w:rPr>
          <w:rFonts w:hint="eastAsia" w:ascii="楷体_GB2312" w:eastAsia="楷体_GB2312"/>
          <w:b/>
          <w:sz w:val="32"/>
          <w:szCs w:val="32"/>
        </w:rPr>
        <w:t>（五）加强政策解读回应。</w:t>
      </w:r>
      <w:r>
        <w:rPr>
          <w:rFonts w:hint="eastAsia" w:ascii="仿宋_GB2312" w:hAnsi="等线" w:eastAsia="仿宋_GB2312"/>
          <w:sz w:val="32"/>
          <w:szCs w:val="32"/>
        </w:rPr>
        <w:t>丰富政策解读形式，</w:t>
      </w:r>
      <w:r>
        <w:rPr>
          <w:rFonts w:hint="eastAsia" w:ascii="仿宋_GB2312" w:hAnsi="Times New Roman" w:eastAsia="仿宋_GB2312"/>
          <w:color w:val="000000"/>
          <w:sz w:val="32"/>
          <w:szCs w:val="32"/>
        </w:rPr>
        <w:t>对涉及面广、社会关注度高的政策措施，通过媒体解读、接受访谈等多种方式，释疑解惑。</w:t>
      </w:r>
      <w:r>
        <w:rPr>
          <w:rFonts w:ascii="仿宋_GB2312" w:hAnsi="Times New Roman" w:eastAsia="仿宋_GB2312"/>
          <w:sz w:val="32"/>
          <w:szCs w:val="32"/>
        </w:rPr>
        <w:t>2020</w:t>
      </w:r>
      <w:r>
        <w:rPr>
          <w:rFonts w:hint="eastAsia" w:ascii="仿宋_GB2312" w:hAnsi="Times New Roman" w:eastAsia="仿宋_GB2312"/>
          <w:sz w:val="32"/>
          <w:szCs w:val="32"/>
        </w:rPr>
        <w:t>年共</w:t>
      </w:r>
      <w:r>
        <w:rPr>
          <w:rFonts w:hint="eastAsia" w:ascii="仿宋_GB2312" w:hAnsi="等线" w:eastAsia="仿宋_GB2312"/>
          <w:sz w:val="32"/>
          <w:szCs w:val="32"/>
        </w:rPr>
        <w:t>参加网络及电视问政</w:t>
      </w:r>
      <w:r>
        <w:rPr>
          <w:rFonts w:ascii="仿宋_GB2312" w:hAnsi="等线" w:eastAsia="仿宋_GB2312"/>
          <w:sz w:val="32"/>
          <w:szCs w:val="32"/>
        </w:rPr>
        <w:t>1</w:t>
      </w:r>
      <w:r>
        <w:rPr>
          <w:rFonts w:hint="eastAsia" w:ascii="仿宋_GB2312" w:hAnsi="等线" w:eastAsia="仿宋_GB2312"/>
          <w:sz w:val="32"/>
          <w:szCs w:val="32"/>
        </w:rPr>
        <w:t>次，权威解读各项政策措施，扩大政策知晓率（办公室负责修改完善）；</w:t>
      </w:r>
      <w:r>
        <w:rPr>
          <w:rFonts w:hint="eastAsia" w:ascii="仿宋_GB2312" w:hAnsi="Times New Roman" w:eastAsia="仿宋_GB2312"/>
          <w:sz w:val="32"/>
          <w:szCs w:val="32"/>
        </w:rPr>
        <w:t>通过网络问政平台答复群众问政</w:t>
      </w:r>
      <w:r>
        <w:rPr>
          <w:rFonts w:ascii="仿宋_GB2312" w:hAnsi="Times New Roman" w:eastAsia="仿宋_GB2312"/>
          <w:sz w:val="32"/>
          <w:szCs w:val="32"/>
        </w:rPr>
        <w:t>6</w:t>
      </w:r>
      <w:r>
        <w:rPr>
          <w:rFonts w:hint="eastAsia" w:ascii="仿宋_GB2312" w:hAnsi="Times New Roman" w:eastAsia="仿宋_GB2312"/>
          <w:sz w:val="32"/>
          <w:szCs w:val="32"/>
        </w:rPr>
        <w:t>条，全国生态环境信访投诉举报管理平台（原</w:t>
      </w:r>
      <w:r>
        <w:rPr>
          <w:rFonts w:ascii="仿宋_GB2312" w:hAnsi="Times New Roman" w:eastAsia="仿宋_GB2312"/>
          <w:sz w:val="32"/>
          <w:szCs w:val="32"/>
        </w:rPr>
        <w:t>12369</w:t>
      </w:r>
      <w:r>
        <w:rPr>
          <w:rFonts w:hint="eastAsia" w:ascii="仿宋_GB2312" w:hAnsi="Times New Roman" w:eastAsia="仿宋_GB2312"/>
          <w:sz w:val="32"/>
          <w:szCs w:val="32"/>
        </w:rPr>
        <w:t>环保举报管理平台）答复各类建议投诉</w:t>
      </w:r>
      <w:r>
        <w:rPr>
          <w:rFonts w:ascii="仿宋_GB2312" w:hAnsi="Times New Roman" w:eastAsia="仿宋_GB2312"/>
          <w:sz w:val="32"/>
          <w:szCs w:val="32"/>
        </w:rPr>
        <w:t>46</w:t>
      </w:r>
      <w:r>
        <w:rPr>
          <w:rFonts w:hint="eastAsia" w:ascii="仿宋_GB2312" w:hAnsi="Times New Roman" w:eastAsia="仿宋_GB2312"/>
          <w:sz w:val="32"/>
          <w:szCs w:val="32"/>
        </w:rPr>
        <w:t>条。其中噪音</w:t>
      </w:r>
      <w:r>
        <w:rPr>
          <w:rFonts w:ascii="仿宋_GB2312" w:hAnsi="Times New Roman" w:eastAsia="仿宋_GB2312"/>
          <w:sz w:val="32"/>
          <w:szCs w:val="32"/>
        </w:rPr>
        <w:t>16</w:t>
      </w:r>
      <w:r>
        <w:rPr>
          <w:rFonts w:hint="eastAsia" w:ascii="仿宋_GB2312" w:hAnsi="Times New Roman" w:eastAsia="仿宋_GB2312"/>
          <w:sz w:val="32"/>
          <w:szCs w:val="32"/>
        </w:rPr>
        <w:t>件，废水</w:t>
      </w:r>
      <w:r>
        <w:rPr>
          <w:rFonts w:ascii="仿宋_GB2312" w:hAnsi="Times New Roman" w:eastAsia="仿宋_GB2312"/>
          <w:sz w:val="32"/>
          <w:szCs w:val="32"/>
        </w:rPr>
        <w:t>8</w:t>
      </w:r>
      <w:r>
        <w:rPr>
          <w:rFonts w:hint="eastAsia" w:ascii="仿宋_GB2312" w:hAnsi="Times New Roman" w:eastAsia="仿宋_GB2312"/>
          <w:sz w:val="32"/>
          <w:szCs w:val="32"/>
        </w:rPr>
        <w:t>件，扬尘粉尘</w:t>
      </w:r>
      <w:r>
        <w:rPr>
          <w:rFonts w:ascii="仿宋_GB2312" w:hAnsi="Times New Roman" w:eastAsia="仿宋_GB2312"/>
          <w:sz w:val="32"/>
          <w:szCs w:val="32"/>
        </w:rPr>
        <w:t>8</w:t>
      </w:r>
      <w:r>
        <w:rPr>
          <w:rFonts w:hint="eastAsia" w:ascii="仿宋_GB2312" w:hAnsi="Times New Roman" w:eastAsia="仿宋_GB2312"/>
          <w:sz w:val="32"/>
          <w:szCs w:val="32"/>
        </w:rPr>
        <w:t>件，畜禽养殖</w:t>
      </w:r>
      <w:r>
        <w:rPr>
          <w:rFonts w:ascii="仿宋_GB2312" w:hAnsi="Times New Roman" w:eastAsia="仿宋_GB2312"/>
          <w:sz w:val="32"/>
          <w:szCs w:val="32"/>
        </w:rPr>
        <w:t>5</w:t>
      </w:r>
      <w:r>
        <w:rPr>
          <w:rFonts w:hint="eastAsia" w:ascii="仿宋_GB2312" w:hAnsi="Times New Roman" w:eastAsia="仿宋_GB2312"/>
          <w:sz w:val="32"/>
          <w:szCs w:val="32"/>
        </w:rPr>
        <w:t>件，恶臭异味</w:t>
      </w:r>
      <w:r>
        <w:rPr>
          <w:rFonts w:ascii="仿宋_GB2312" w:hAnsi="Times New Roman" w:eastAsia="仿宋_GB2312"/>
          <w:sz w:val="32"/>
          <w:szCs w:val="32"/>
        </w:rPr>
        <w:t>3</w:t>
      </w:r>
      <w:r>
        <w:rPr>
          <w:rFonts w:hint="eastAsia" w:ascii="仿宋_GB2312" w:hAnsi="Times New Roman" w:eastAsia="仿宋_GB2312"/>
          <w:sz w:val="32"/>
          <w:szCs w:val="32"/>
        </w:rPr>
        <w:t>件，废气</w:t>
      </w:r>
      <w:r>
        <w:rPr>
          <w:rFonts w:ascii="仿宋_GB2312" w:hAnsi="Times New Roman" w:eastAsia="仿宋_GB2312"/>
          <w:sz w:val="32"/>
          <w:szCs w:val="32"/>
        </w:rPr>
        <w:t>2</w:t>
      </w:r>
      <w:r>
        <w:rPr>
          <w:rFonts w:hint="eastAsia" w:ascii="仿宋_GB2312" w:hAnsi="Times New Roman" w:eastAsia="仿宋_GB2312"/>
          <w:sz w:val="32"/>
          <w:szCs w:val="32"/>
        </w:rPr>
        <w:t>件，建设项目</w:t>
      </w:r>
      <w:r>
        <w:rPr>
          <w:rFonts w:ascii="仿宋_GB2312" w:hAnsi="Times New Roman" w:eastAsia="仿宋_GB2312"/>
          <w:sz w:val="32"/>
          <w:szCs w:val="32"/>
        </w:rPr>
        <w:t>2</w:t>
      </w:r>
      <w:r>
        <w:rPr>
          <w:rFonts w:hint="eastAsia" w:ascii="仿宋_GB2312" w:hAnsi="Times New Roman" w:eastAsia="仿宋_GB2312"/>
          <w:sz w:val="32"/>
          <w:szCs w:val="32"/>
        </w:rPr>
        <w:t>件，固体废物</w:t>
      </w:r>
      <w:r>
        <w:rPr>
          <w:rFonts w:ascii="仿宋_GB2312" w:hAnsi="Times New Roman" w:eastAsia="仿宋_GB2312"/>
          <w:sz w:val="32"/>
          <w:szCs w:val="32"/>
        </w:rPr>
        <w:t>1</w:t>
      </w:r>
      <w:r>
        <w:rPr>
          <w:rFonts w:hint="eastAsia" w:ascii="仿宋_GB2312" w:hAnsi="Times New Roman" w:eastAsia="仿宋_GB2312"/>
          <w:sz w:val="32"/>
          <w:szCs w:val="32"/>
        </w:rPr>
        <w:t>件，其他</w:t>
      </w:r>
      <w:r>
        <w:rPr>
          <w:rFonts w:ascii="仿宋_GB2312" w:hAnsi="Times New Roman" w:eastAsia="仿宋_GB2312"/>
          <w:sz w:val="32"/>
          <w:szCs w:val="32"/>
        </w:rPr>
        <w:t>1</w:t>
      </w:r>
      <w:r>
        <w:rPr>
          <w:rFonts w:hint="eastAsia" w:ascii="仿宋_GB2312" w:hAnsi="Times New Roman" w:eastAsia="仿宋_GB2312"/>
          <w:sz w:val="32"/>
          <w:szCs w:val="32"/>
        </w:rPr>
        <w:t>件。</w:t>
      </w:r>
    </w:p>
    <w:p>
      <w:pPr>
        <w:spacing w:line="640" w:lineRule="exact"/>
        <w:ind w:firstLine="643" w:firstLineChars="200"/>
        <w:rPr>
          <w:rFonts w:ascii="仿宋_GB2312" w:eastAsia="仿宋_GB2312"/>
          <w:b/>
          <w:sz w:val="32"/>
          <w:szCs w:val="32"/>
        </w:rPr>
      </w:pPr>
      <w:r>
        <w:rPr>
          <w:rFonts w:hint="eastAsia" w:ascii="楷体_GB2312" w:eastAsia="楷体_GB2312"/>
          <w:b/>
          <w:sz w:val="32"/>
          <w:szCs w:val="32"/>
        </w:rPr>
        <w:t>（六）依法依规答复公开申请。</w:t>
      </w:r>
      <w:r>
        <w:rPr>
          <w:rFonts w:hint="eastAsia" w:ascii="仿宋_GB2312" w:eastAsia="仿宋_GB2312"/>
          <w:sz w:val="32"/>
          <w:szCs w:val="32"/>
        </w:rPr>
        <w:t>畅通申请渠道，形成以门户网站申请受理为主，邮寄、电子邮件、行政服务大厅窗口等多渠道受理的系统，方便社会公众申请获取政府信息。缩短办理时限，收到公开申请书后，及时做好登记、转办、办理、答复。答复合法合规，政策法规科对依申请答复全程把关，确保答复合法有据、流程规范合理、形式严肃严谨。</w:t>
      </w:r>
      <w:r>
        <w:rPr>
          <w:rFonts w:ascii="仿宋_GB2312" w:eastAsia="仿宋_GB2312"/>
          <w:sz w:val="32"/>
          <w:szCs w:val="32"/>
        </w:rPr>
        <w:t>2020</w:t>
      </w:r>
      <w:r>
        <w:rPr>
          <w:rFonts w:hint="eastAsia" w:ascii="仿宋_GB2312" w:eastAsia="仿宋_GB2312"/>
          <w:sz w:val="32"/>
          <w:szCs w:val="32"/>
        </w:rPr>
        <w:t>年共收到信息公开申请</w:t>
      </w:r>
      <w:r>
        <w:rPr>
          <w:rFonts w:ascii="仿宋_GB2312" w:eastAsia="仿宋_GB2312"/>
          <w:sz w:val="32"/>
          <w:szCs w:val="32"/>
        </w:rPr>
        <w:t>0</w:t>
      </w:r>
      <w:r>
        <w:rPr>
          <w:rFonts w:hint="eastAsia" w:ascii="仿宋_GB2312" w:eastAsia="仿宋_GB2312"/>
          <w:sz w:val="32"/>
          <w:szCs w:val="32"/>
        </w:rPr>
        <w:t>件，未收到复议诉讼。</w:t>
      </w:r>
    </w:p>
    <w:p>
      <w:pPr>
        <w:spacing w:line="640" w:lineRule="exact"/>
        <w:ind w:firstLine="573"/>
        <w:rPr>
          <w:rFonts w:ascii="仿宋_GB2312" w:eastAsia="仿宋_GB2312"/>
          <w:b/>
          <w:sz w:val="32"/>
          <w:szCs w:val="32"/>
        </w:rPr>
      </w:pPr>
      <w:r>
        <w:rPr>
          <w:rFonts w:hint="eastAsia" w:ascii="楷体_GB2312" w:eastAsia="楷体_GB2312"/>
          <w:b/>
          <w:sz w:val="32"/>
          <w:szCs w:val="32"/>
        </w:rPr>
        <w:t>（七）强化监督保障。</w:t>
      </w:r>
      <w:r>
        <w:rPr>
          <w:rFonts w:hint="eastAsia" w:ascii="仿宋_GB2312" w:eastAsia="仿宋_GB2312"/>
          <w:sz w:val="32"/>
          <w:szCs w:val="32"/>
        </w:rPr>
        <w:t>制定培训计划，定期召开政务公开培训，提升政务公开能力水平。多次召开会议研究部署政务公开工作，督导各股室、单位做好基层政务公开标准化建设。</w:t>
      </w:r>
    </w:p>
    <w:p>
      <w:pPr>
        <w:pStyle w:val="5"/>
        <w:widowControl/>
        <w:shd w:val="clear" w:color="auto" w:fill="FFFFFF"/>
        <w:spacing w:before="0" w:beforeAutospacing="0" w:after="240" w:afterAutospacing="0"/>
        <w:ind w:firstLine="420"/>
        <w:jc w:val="both"/>
        <w:rPr>
          <w:rFonts w:ascii="黑体" w:hAnsi="黑体" w:eastAsia="黑体" w:cs="宋体"/>
          <w:bCs/>
          <w:sz w:val="32"/>
          <w:szCs w:val="32"/>
          <w:shd w:val="clear" w:color="auto" w:fill="FFFFFF"/>
        </w:rPr>
      </w:pPr>
      <w:r>
        <w:rPr>
          <w:rFonts w:hint="eastAsia" w:ascii="黑体" w:hAnsi="黑体" w:eastAsia="黑体" w:cs="宋体"/>
          <w:bCs/>
          <w:sz w:val="32"/>
          <w:szCs w:val="32"/>
          <w:shd w:val="clear" w:color="auto" w:fill="FFFFFF"/>
        </w:rPr>
        <w:t>二、主动公开政府信息情况</w:t>
      </w:r>
    </w:p>
    <w:tbl>
      <w:tblPr>
        <w:tblStyle w:val="6"/>
        <w:tblW w:w="8140" w:type="dxa"/>
        <w:jc w:val="center"/>
        <w:tblLayout w:type="fixed"/>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本年新</w:t>
            </w:r>
            <w:r>
              <w:rPr>
                <w:rFonts w:ascii="宋体" w:cs="宋体"/>
                <w:kern w:val="0"/>
                <w:sz w:val="20"/>
                <w:szCs w:val="20"/>
              </w:rPr>
              <w:br w:type="textWrapping"/>
            </w:r>
            <w:r>
              <w:rPr>
                <w:rFonts w:hint="eastAsia"/>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本年新</w:t>
            </w:r>
            <w:r>
              <w:rPr>
                <w:rFonts w:ascii="宋体" w:cs="宋体"/>
                <w:kern w:val="0"/>
                <w:sz w:val="20"/>
                <w:szCs w:val="20"/>
              </w:rPr>
              <w:br w:type="textWrapping"/>
            </w:r>
            <w:r>
              <w:rPr>
                <w:rFonts w:hint="eastAsia"/>
                <w:kern w:val="0"/>
                <w:sz w:val="20"/>
                <w:szCs w:val="20"/>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ascii="宋体" w:cs="宋体"/>
                <w:kern w:val="0"/>
                <w:sz w:val="20"/>
                <w:szCs w:val="20"/>
              </w:rPr>
              <w:t>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宋体" w:cs="宋体"/>
                <w:kern w:val="0"/>
                <w:sz w:val="20"/>
                <w:szCs w:val="20"/>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ascii="宋体" w:cs="宋体"/>
                <w:kern w:val="0"/>
                <w:sz w:val="20"/>
                <w:szCs w:val="20"/>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eastAsia" w:eastAsia="宋体"/>
                <w:lang w:eastAsia="zh-CN"/>
              </w:rPr>
            </w:pPr>
            <w:r>
              <w:rPr>
                <w:rFonts w:hint="eastAsia" w:ascii="宋体" w:cs="宋体"/>
                <w:kern w:val="0"/>
                <w:sz w:val="20"/>
                <w:szCs w:val="20"/>
                <w:lang w:val="en-US" w:eastAsia="zh-CN"/>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eastAsia" w:eastAsia="宋体"/>
                <w:lang w:eastAsia="zh-CN"/>
              </w:rPr>
            </w:pPr>
            <w:r>
              <w:rPr>
                <w:rFonts w:hint="eastAsia" w:ascii="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本年增</w:t>
            </w:r>
            <w:r>
              <w:rPr>
                <w:rFonts w:ascii="宋体" w:hAnsi="宋体" w:cs="宋体"/>
                <w:kern w:val="0"/>
                <w:sz w:val="20"/>
                <w:szCs w:val="20"/>
              </w:rPr>
              <w:t>/</w:t>
            </w:r>
            <w:r>
              <w:rPr>
                <w:rFonts w:hint="eastAsia" w:ascii="宋体" w:hAnsi="宋体" w:cs="宋体"/>
                <w:kern w:val="0"/>
                <w:sz w:val="20"/>
                <w:szCs w:val="20"/>
              </w:rPr>
              <w:t>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t>257</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t>-110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t>146</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eastAsia" w:eastAsia="宋体"/>
                <w:lang w:eastAsia="zh-CN"/>
              </w:rPr>
            </w:pPr>
            <w:r>
              <w:rPr>
                <w:rFonts w:hint="eastAsia"/>
                <w:lang w:val="en-US" w:eastAsia="zh-CN"/>
              </w:rPr>
              <w:t>3</w:t>
            </w:r>
            <w:bookmarkStart w:id="0" w:name="_GoBack"/>
            <w:bookmarkEnd w:id="0"/>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本年增</w:t>
            </w:r>
            <w:r>
              <w:rPr>
                <w:rFonts w:ascii="宋体" w:hAnsi="宋体" w:cs="宋体"/>
                <w:kern w:val="0"/>
                <w:sz w:val="20"/>
                <w:szCs w:val="20"/>
              </w:rPr>
              <w:t>/</w:t>
            </w:r>
            <w:r>
              <w:rPr>
                <w:rFonts w:hint="eastAsia" w:ascii="宋体" w:hAnsi="宋体" w:cs="宋体"/>
                <w:kern w:val="0"/>
                <w:sz w:val="20"/>
                <w:szCs w:val="20"/>
              </w:rPr>
              <w:t>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t>136</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lang w:val="en-US" w:eastAsia="zh-CN"/>
              </w:rPr>
              <w:t>-</w:t>
            </w:r>
            <w:r>
              <w:t>5</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t>131</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本年增</w:t>
            </w:r>
            <w:r>
              <w:rPr>
                <w:rFonts w:ascii="宋体" w:hAnsi="宋体" w:cs="宋体"/>
                <w:kern w:val="0"/>
                <w:sz w:val="20"/>
                <w:szCs w:val="20"/>
              </w:rPr>
              <w:t>/</w:t>
            </w:r>
            <w:r>
              <w:rPr>
                <w:rFonts w:hint="eastAsia" w:ascii="宋体" w:hAnsi="宋体" w:cs="宋体"/>
                <w:kern w:val="0"/>
                <w:sz w:val="20"/>
                <w:szCs w:val="20"/>
              </w:rPr>
              <w:t>减</w:t>
            </w:r>
          </w:p>
        </w:tc>
      </w:tr>
      <w:tr>
        <w:tblPrEx>
          <w:tblCellMar>
            <w:top w:w="0" w:type="dxa"/>
            <w:left w:w="0" w:type="dxa"/>
            <w:bottom w:w="0" w:type="dxa"/>
            <w:right w:w="0" w:type="dxa"/>
          </w:tblCellMar>
        </w:tblPrEx>
        <w:trPr>
          <w:trHeight w:val="41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eastAsia" w:ascii="宋体" w:eastAsia="宋体" w:cs="宋体"/>
                <w:kern w:val="0"/>
                <w:sz w:val="20"/>
                <w:szCs w:val="20"/>
                <w:lang w:eastAsia="zh-CN"/>
              </w:rPr>
            </w:pPr>
            <w:r>
              <w:rPr>
                <w:rFonts w:hint="eastAsia" w:ascii="宋体" w:hAnsi="宋体" w:cs="宋体"/>
                <w:kern w:val="0"/>
                <w:sz w:val="20"/>
                <w:szCs w:val="20"/>
                <w:lang w:val="en-US" w:eastAsia="zh-CN"/>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widowControl/>
              <w:spacing w:after="180"/>
              <w:jc w:val="center"/>
              <w:rPr>
                <w:rFonts w:hint="eastAsia" w:eastAsia="宋体"/>
                <w:lang w:eastAsia="zh-CN"/>
              </w:rPr>
            </w:pPr>
            <w:r>
              <w:rPr>
                <w:rFonts w:hint="eastAsia" w:ascii="宋体" w:hAnsi="宋体" w:cs="宋体"/>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cs="宋体"/>
                <w:kern w:val="0"/>
                <w:sz w:val="20"/>
                <w:szCs w:val="20"/>
              </w:rPr>
              <w:t>第二十条第（九）项</w:t>
            </w:r>
          </w:p>
        </w:tc>
      </w:tr>
      <w:tr>
        <w:tblPrEx>
          <w:tblCellMar>
            <w:top w:w="0" w:type="dxa"/>
            <w:left w:w="0" w:type="dxa"/>
            <w:bottom w:w="0" w:type="dxa"/>
            <w:right w:w="0" w:type="dxa"/>
          </w:tblCellMar>
        </w:tblPrEx>
        <w:trPr>
          <w:trHeight w:val="387"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kern w:val="0"/>
                <w:sz w:val="20"/>
                <w:szCs w:val="20"/>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ascii="宋体" w:cs="宋体"/>
                <w:kern w:val="0"/>
                <w:sz w:val="20"/>
                <w:szCs w:val="20"/>
              </w:rPr>
            </w:pPr>
            <w:r>
              <w:rPr>
                <w:rFonts w:ascii="宋体" w:cs="宋体"/>
                <w:kern w:val="0"/>
                <w:sz w:val="20"/>
                <w:szCs w:val="20"/>
              </w:rPr>
              <w:t>4</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widowControl/>
              <w:spacing w:after="180"/>
              <w:jc w:val="center"/>
              <w:rPr>
                <w:rFonts w:ascii="宋体" w:cs="宋体"/>
                <w:kern w:val="0"/>
                <w:sz w:val="20"/>
                <w:szCs w:val="20"/>
              </w:rPr>
            </w:pPr>
            <w:r>
              <w:rPr>
                <w:rFonts w:ascii="宋体" w:cs="宋体"/>
                <w:kern w:val="0"/>
                <w:sz w:val="20"/>
                <w:szCs w:val="20"/>
              </w:rPr>
              <w:t>71.05</w:t>
            </w:r>
            <w:r>
              <w:rPr>
                <w:rFonts w:hint="eastAsia" w:ascii="宋体" w:cs="宋体"/>
                <w:kern w:val="0"/>
                <w:sz w:val="20"/>
                <w:szCs w:val="20"/>
              </w:rPr>
              <w:t>万元</w:t>
            </w:r>
          </w:p>
        </w:tc>
      </w:tr>
    </w:tbl>
    <w:p>
      <w:pPr>
        <w:pStyle w:val="5"/>
        <w:widowControl/>
        <w:shd w:val="clear" w:color="auto" w:fill="FFFFFF"/>
        <w:spacing w:before="0" w:beforeAutospacing="0" w:after="0" w:afterAutospacing="0"/>
        <w:jc w:val="both"/>
        <w:rPr>
          <w:rFonts w:ascii="宋体" w:cs="宋体"/>
        </w:rPr>
      </w:pPr>
    </w:p>
    <w:p>
      <w:pPr>
        <w:pStyle w:val="5"/>
        <w:widowControl/>
        <w:shd w:val="clear" w:color="auto" w:fill="FFFFFF"/>
        <w:spacing w:before="0" w:beforeAutospacing="0" w:after="240" w:afterAutospacing="0"/>
        <w:ind w:firstLine="420"/>
        <w:jc w:val="both"/>
        <w:rPr>
          <w:rFonts w:ascii="黑体" w:hAnsi="黑体" w:eastAsia="黑体" w:cs="宋体"/>
          <w:bCs/>
          <w:sz w:val="32"/>
          <w:szCs w:val="32"/>
          <w:shd w:val="clear" w:color="auto" w:fill="FFFFFF"/>
        </w:rPr>
      </w:pPr>
      <w:r>
        <w:rPr>
          <w:rFonts w:hint="eastAsia" w:ascii="黑体" w:hAnsi="黑体" w:eastAsia="黑体" w:cs="宋体"/>
          <w:bCs/>
          <w:sz w:val="32"/>
          <w:szCs w:val="32"/>
          <w:shd w:val="clear" w:color="auto" w:fill="FFFFFF"/>
        </w:rPr>
        <w:t>三、收到和处理政府信息公开申请情况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7"/>
        <w:gridCol w:w="854"/>
        <w:gridCol w:w="2086"/>
        <w:gridCol w:w="813"/>
        <w:gridCol w:w="691"/>
        <w:gridCol w:w="819"/>
        <w:gridCol w:w="813"/>
        <w:gridCol w:w="973"/>
        <w:gridCol w:w="711"/>
        <w:gridCol w:w="6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7"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（本列数据的勾稽关系为：第一项加第二项之和，等于第三项加第四项之和）</w:t>
            </w:r>
          </w:p>
        </w:tc>
        <w:tc>
          <w:tcPr>
            <w:tcW w:w="5514" w:type="dxa"/>
            <w:gridSpan w:val="7"/>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13"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13"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商业企业</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科研机构</w:t>
            </w:r>
          </w:p>
        </w:tc>
        <w:tc>
          <w:tcPr>
            <w:tcW w:w="81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社会公益组织</w:t>
            </w:r>
          </w:p>
        </w:tc>
        <w:tc>
          <w:tcPr>
            <w:tcW w:w="97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其他</w:t>
            </w:r>
          </w:p>
        </w:tc>
        <w:tc>
          <w:tcPr>
            <w:tcW w:w="69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pPr>
            <w:r>
              <w:rPr>
                <w:rFonts w:hint="eastAsia" w:ascii="宋体" w:hAnsi="宋体" w:cs="宋体"/>
                <w:kern w:val="0"/>
                <w:sz w:val="20"/>
                <w:szCs w:val="20"/>
              </w:rPr>
              <w:t>一、本年新收政府信息公开申请数量</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pPr>
            <w:r>
              <w:rPr>
                <w:rFonts w:hint="eastAsia" w:ascii="宋体" w:hAnsi="宋体" w:cs="宋体"/>
                <w:kern w:val="0"/>
                <w:sz w:val="20"/>
                <w:szCs w:val="20"/>
              </w:rPr>
              <w:t>二、上年结转政府信息公开申请数量</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三、本年度办理结果</w:t>
            </w: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（一）予以公开</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4"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（二）部分公开（区分处理的，只计这一情形，不计其他情形）</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（三）不予公开</w:t>
            </w: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ascii="楷体" w:hAnsi="楷体" w:eastAsia="楷体" w:cs="楷体"/>
                <w:kern w:val="0"/>
                <w:sz w:val="20"/>
                <w:szCs w:val="20"/>
              </w:rPr>
              <w:t>1.</w:t>
            </w:r>
            <w:r>
              <w:rPr>
                <w:rFonts w:hint="eastAsia" w:ascii="楷体" w:hAnsi="楷体" w:eastAsia="楷体" w:cs="楷体"/>
                <w:kern w:val="0"/>
                <w:sz w:val="20"/>
                <w:szCs w:val="20"/>
              </w:rPr>
              <w:t>属于国家秘密</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4"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ascii="楷体" w:hAnsi="楷体" w:eastAsia="楷体" w:cs="楷体"/>
                <w:kern w:val="0"/>
                <w:sz w:val="20"/>
                <w:szCs w:val="20"/>
              </w:rPr>
              <w:t>2.</w:t>
            </w:r>
            <w:r>
              <w:rPr>
                <w:rFonts w:hint="eastAsia" w:ascii="楷体" w:hAnsi="楷体" w:eastAsia="楷体" w:cs="楷体"/>
                <w:kern w:val="0"/>
                <w:sz w:val="20"/>
                <w:szCs w:val="20"/>
              </w:rPr>
              <w:t>其他法律行政法规禁止公开</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ascii="楷体" w:hAnsi="楷体" w:eastAsia="楷体" w:cs="楷体"/>
                <w:kern w:val="0"/>
                <w:sz w:val="20"/>
                <w:szCs w:val="20"/>
              </w:rPr>
              <w:t>3.</w:t>
            </w:r>
            <w:r>
              <w:rPr>
                <w:rFonts w:hint="eastAsia" w:ascii="楷体" w:hAnsi="楷体" w:eastAsia="楷体" w:cs="楷体"/>
                <w:kern w:val="0"/>
                <w:sz w:val="20"/>
                <w:szCs w:val="20"/>
              </w:rPr>
              <w:t>危及“三安全一稳定”</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ascii="楷体" w:hAnsi="楷体" w:eastAsia="楷体" w:cs="楷体"/>
                <w:kern w:val="0"/>
                <w:sz w:val="20"/>
                <w:szCs w:val="20"/>
              </w:rPr>
              <w:t>4.</w:t>
            </w:r>
            <w:r>
              <w:rPr>
                <w:rFonts w:hint="eastAsia" w:ascii="楷体" w:hAnsi="楷体" w:eastAsia="楷体" w:cs="楷体"/>
                <w:kern w:val="0"/>
                <w:sz w:val="20"/>
                <w:szCs w:val="20"/>
              </w:rPr>
              <w:t>保护第三方合法权益</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ascii="楷体" w:hAnsi="楷体" w:eastAsia="楷体" w:cs="楷体"/>
                <w:kern w:val="0"/>
                <w:sz w:val="20"/>
                <w:szCs w:val="20"/>
              </w:rPr>
              <w:t>5.</w:t>
            </w:r>
            <w:r>
              <w:rPr>
                <w:rFonts w:hint="eastAsia" w:ascii="楷体" w:hAnsi="楷体" w:eastAsia="楷体" w:cs="楷体"/>
                <w:kern w:val="0"/>
                <w:sz w:val="20"/>
                <w:szCs w:val="20"/>
              </w:rPr>
              <w:t>属于三类内部事务信息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ascii="楷体" w:hAnsi="楷体" w:eastAsia="楷体" w:cs="楷体"/>
                <w:kern w:val="0"/>
                <w:sz w:val="20"/>
                <w:szCs w:val="20"/>
              </w:rPr>
              <w:t>6.</w:t>
            </w:r>
            <w:r>
              <w:rPr>
                <w:rFonts w:hint="eastAsia" w:ascii="楷体" w:hAnsi="楷体" w:eastAsia="楷体" w:cs="楷体"/>
                <w:kern w:val="0"/>
                <w:sz w:val="20"/>
                <w:szCs w:val="20"/>
              </w:rPr>
              <w:t>属于四类过程性信息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ascii="楷体" w:hAnsi="楷体" w:eastAsia="楷体" w:cs="楷体"/>
                <w:kern w:val="0"/>
                <w:sz w:val="20"/>
                <w:szCs w:val="20"/>
              </w:rPr>
              <w:t>7.</w:t>
            </w:r>
            <w:r>
              <w:rPr>
                <w:rFonts w:hint="eastAsia" w:ascii="楷体" w:hAnsi="楷体" w:eastAsia="楷体" w:cs="楷体"/>
                <w:kern w:val="0"/>
                <w:sz w:val="20"/>
                <w:szCs w:val="20"/>
              </w:rPr>
              <w:t>属于行政执法案卷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ascii="楷体" w:hAnsi="楷体" w:eastAsia="楷体" w:cs="楷体"/>
                <w:kern w:val="0"/>
                <w:sz w:val="20"/>
                <w:szCs w:val="20"/>
              </w:rPr>
              <w:t>8.</w:t>
            </w:r>
            <w:r>
              <w:rPr>
                <w:rFonts w:hint="eastAsia" w:ascii="楷体" w:hAnsi="楷体" w:eastAsia="楷体" w:cs="楷体"/>
                <w:kern w:val="0"/>
                <w:sz w:val="20"/>
                <w:szCs w:val="20"/>
              </w:rPr>
              <w:t>属于行政查询事项</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（四）无法提供</w:t>
            </w: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ascii="楷体" w:hAnsi="楷体" w:eastAsia="楷体" w:cs="楷体"/>
                <w:kern w:val="0"/>
                <w:sz w:val="20"/>
                <w:szCs w:val="20"/>
              </w:rPr>
              <w:t>1.</w:t>
            </w:r>
            <w:r>
              <w:rPr>
                <w:rFonts w:hint="eastAsia" w:ascii="楷体" w:hAnsi="楷体" w:eastAsia="楷体" w:cs="楷体"/>
                <w:kern w:val="0"/>
                <w:sz w:val="20"/>
                <w:szCs w:val="20"/>
              </w:rPr>
              <w:t>本机关不掌握相关政府信息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ascii="楷体" w:hAnsi="楷体" w:eastAsia="楷体" w:cs="楷体"/>
                <w:kern w:val="0"/>
                <w:sz w:val="20"/>
                <w:szCs w:val="20"/>
              </w:rPr>
              <w:t>2.</w:t>
            </w:r>
            <w:r>
              <w:rPr>
                <w:rFonts w:hint="eastAsia" w:ascii="楷体" w:hAnsi="楷体" w:eastAsia="楷体" w:cs="楷体"/>
                <w:kern w:val="0"/>
                <w:sz w:val="20"/>
                <w:szCs w:val="20"/>
              </w:rPr>
              <w:t>没有现成信息需要另行制作</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ascii="楷体" w:hAnsi="楷体" w:eastAsia="楷体" w:cs="楷体"/>
                <w:kern w:val="0"/>
                <w:sz w:val="20"/>
                <w:szCs w:val="20"/>
              </w:rPr>
              <w:t>3.</w:t>
            </w:r>
            <w:r>
              <w:rPr>
                <w:rFonts w:hint="eastAsia" w:ascii="楷体" w:hAnsi="楷体" w:eastAsia="楷体" w:cs="楷体"/>
                <w:kern w:val="0"/>
                <w:sz w:val="20"/>
                <w:szCs w:val="20"/>
              </w:rPr>
              <w:t>补正后申请内容仍不明确</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（五）不予处理</w:t>
            </w: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ascii="楷体" w:hAnsi="楷体" w:eastAsia="楷体" w:cs="楷体"/>
                <w:kern w:val="0"/>
                <w:sz w:val="20"/>
                <w:szCs w:val="20"/>
              </w:rPr>
              <w:t>1.</w:t>
            </w:r>
            <w:r>
              <w:rPr>
                <w:rFonts w:hint="eastAsia" w:ascii="楷体" w:hAnsi="楷体" w:eastAsia="楷体" w:cs="楷体"/>
                <w:kern w:val="0"/>
                <w:sz w:val="20"/>
                <w:szCs w:val="20"/>
              </w:rPr>
              <w:t>信访举报投诉类申请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cs="Calibri"/>
                <w:kern w:val="0"/>
                <w:sz w:val="20"/>
                <w:szCs w:val="20"/>
              </w:rPr>
            </w:pPr>
            <w:r>
              <w:rPr>
                <w:rFonts w:cs="Calibri"/>
                <w:kern w:val="0"/>
                <w:sz w:val="20"/>
                <w:szCs w:val="20"/>
              </w:rPr>
              <w:t> 0</w:t>
            </w:r>
          </w:p>
          <w:p/>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ascii="楷体" w:hAnsi="楷体" w:eastAsia="楷体" w:cs="楷体"/>
                <w:kern w:val="0"/>
                <w:sz w:val="20"/>
                <w:szCs w:val="20"/>
              </w:rPr>
              <w:t>2.</w:t>
            </w:r>
            <w:r>
              <w:rPr>
                <w:rFonts w:hint="eastAsia" w:ascii="楷体" w:hAnsi="楷体" w:eastAsia="楷体" w:cs="楷体"/>
                <w:kern w:val="0"/>
                <w:sz w:val="20"/>
                <w:szCs w:val="20"/>
              </w:rPr>
              <w:t>重复申请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ascii="楷体" w:hAnsi="楷体" w:eastAsia="楷体" w:cs="楷体"/>
                <w:kern w:val="0"/>
                <w:sz w:val="20"/>
                <w:szCs w:val="20"/>
              </w:rPr>
              <w:t>3.</w:t>
            </w:r>
            <w:r>
              <w:rPr>
                <w:rFonts w:hint="eastAsia" w:ascii="楷体" w:hAnsi="楷体" w:eastAsia="楷体" w:cs="楷体"/>
                <w:kern w:val="0"/>
                <w:sz w:val="20"/>
                <w:szCs w:val="20"/>
              </w:rPr>
              <w:t>要求提供公开出版物</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ascii="楷体" w:hAnsi="楷体" w:eastAsia="楷体" w:cs="楷体"/>
                <w:kern w:val="0"/>
                <w:sz w:val="20"/>
                <w:szCs w:val="20"/>
              </w:rPr>
              <w:t>4.</w:t>
            </w:r>
            <w:r>
              <w:rPr>
                <w:rFonts w:hint="eastAsia" w:ascii="楷体" w:hAnsi="楷体" w:eastAsia="楷体" w:cs="楷体"/>
                <w:kern w:val="0"/>
                <w:sz w:val="20"/>
                <w:szCs w:val="20"/>
              </w:rPr>
              <w:t>无正当理由大量反复申请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ascii="楷体" w:hAnsi="楷体" w:eastAsia="楷体" w:cs="楷体"/>
                <w:kern w:val="0"/>
                <w:sz w:val="20"/>
                <w:szCs w:val="20"/>
              </w:rPr>
              <w:t>5.</w:t>
            </w:r>
            <w:r>
              <w:rPr>
                <w:rFonts w:hint="eastAsia" w:ascii="楷体" w:hAnsi="楷体" w:eastAsia="楷体" w:cs="楷体"/>
                <w:kern w:val="0"/>
                <w:sz w:val="20"/>
                <w:szCs w:val="20"/>
              </w:rPr>
              <w:t>要求行政机关确认或重新出具已获取信息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（六）其他处理</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pPr>
            <w:r>
              <w:rPr>
                <w:rFonts w:hint="eastAsia" w:ascii="楷体" w:hAnsi="楷体" w:eastAsia="楷体" w:cs="楷体"/>
                <w:kern w:val="0"/>
                <w:sz w:val="20"/>
                <w:szCs w:val="20"/>
              </w:rPr>
              <w:t>（七）总计</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pPr>
            <w:r>
              <w:rPr>
                <w:rFonts w:hint="eastAsia" w:ascii="宋体" w:hAnsi="宋体" w:cs="宋体"/>
                <w:kern w:val="0"/>
                <w:sz w:val="20"/>
                <w:szCs w:val="20"/>
              </w:rPr>
              <w:t>四、结转下年度继续办理</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69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819"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9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sz w:val="24"/>
              </w:rPr>
            </w:pPr>
            <w:r>
              <w:rPr>
                <w:rFonts w:cs="Calibri"/>
                <w:kern w:val="0"/>
                <w:sz w:val="20"/>
                <w:szCs w:val="20"/>
              </w:rPr>
              <w:t>0</w:t>
            </w:r>
          </w:p>
        </w:tc>
      </w:tr>
    </w:tbl>
    <w:p>
      <w:pPr>
        <w:pStyle w:val="5"/>
        <w:widowControl/>
        <w:shd w:val="clear" w:color="auto" w:fill="FFFFFF"/>
        <w:spacing w:before="0" w:beforeAutospacing="0" w:after="0" w:afterAutospacing="0"/>
        <w:ind w:firstLine="420"/>
        <w:jc w:val="both"/>
        <w:rPr>
          <w:rFonts w:ascii="宋体" w:cs="宋体"/>
        </w:rPr>
      </w:pPr>
    </w:p>
    <w:p>
      <w:pPr>
        <w:pStyle w:val="5"/>
        <w:widowControl/>
        <w:shd w:val="clear" w:color="auto" w:fill="FFFFFF"/>
        <w:spacing w:before="0" w:beforeAutospacing="0" w:after="0" w:afterAutospacing="0"/>
        <w:ind w:firstLine="420"/>
        <w:jc w:val="both"/>
        <w:rPr>
          <w:rFonts w:ascii="黑体" w:hAnsi="黑体" w:eastAsia="黑体" w:cs="宋体"/>
          <w:bCs/>
          <w:sz w:val="32"/>
          <w:szCs w:val="32"/>
          <w:shd w:val="clear" w:color="auto" w:fill="FFFFFF"/>
        </w:rPr>
      </w:pPr>
      <w:r>
        <w:rPr>
          <w:rFonts w:hint="eastAsia" w:ascii="黑体" w:hAnsi="黑体" w:eastAsia="黑体" w:cs="宋体"/>
          <w:bCs/>
          <w:sz w:val="32"/>
          <w:szCs w:val="32"/>
          <w:shd w:val="clear" w:color="auto" w:fill="FFFFFF"/>
        </w:rPr>
        <w:t>四、政府信息公开行政复议、行政诉讼情况</w:t>
      </w:r>
    </w:p>
    <w:p>
      <w:pPr>
        <w:pStyle w:val="5"/>
        <w:widowControl/>
        <w:shd w:val="clear" w:color="auto" w:fill="FFFFFF"/>
        <w:spacing w:before="0" w:beforeAutospacing="0" w:after="0" w:afterAutospacing="0"/>
        <w:ind w:firstLine="420"/>
        <w:jc w:val="both"/>
        <w:rPr>
          <w:rFonts w:ascii="宋体" w:cs="宋体"/>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0 </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cs="Calibri"/>
                <w:kern w:val="0"/>
                <w:sz w:val="20"/>
                <w:szCs w:val="20"/>
              </w:rPr>
              <w:t> 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宋体" w:cs="宋体"/>
                <w:kern w:val="0"/>
                <w:sz w:val="20"/>
                <w:szCs w:val="20"/>
              </w:rPr>
              <w:t> 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宋体" w:cs="宋体"/>
                <w:kern w:val="0"/>
                <w:sz w:val="20"/>
                <w:szCs w:val="20"/>
              </w:rPr>
              <w:t>0 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宋体" w:cs="宋体"/>
                <w:kern w:val="0"/>
                <w:sz w:val="20"/>
                <w:szCs w:val="20"/>
              </w:rPr>
              <w:t>0 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宋体" w:cs="宋体"/>
                <w:kern w:val="0"/>
                <w:sz w:val="20"/>
                <w:szCs w:val="20"/>
              </w:rPr>
              <w:t> 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宋体" w:cs="宋体"/>
                <w:kern w:val="0"/>
                <w:sz w:val="20"/>
                <w:szCs w:val="20"/>
              </w:rPr>
              <w:t> 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宋体" w:cs="宋体"/>
                <w:kern w:val="0"/>
                <w:sz w:val="20"/>
                <w:szCs w:val="20"/>
              </w:rPr>
              <w:t>0 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宋体" w:cs="宋体"/>
                <w:kern w:val="0"/>
                <w:sz w:val="20"/>
                <w:szCs w:val="20"/>
              </w:rPr>
              <w:t>0 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宋体" w:cs="宋体"/>
                <w:kern w:val="0"/>
                <w:sz w:val="20"/>
                <w:szCs w:val="20"/>
              </w:rPr>
              <w:t> 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宋体" w:cs="宋体"/>
                <w:kern w:val="0"/>
                <w:sz w:val="20"/>
                <w:szCs w:val="20"/>
              </w:rPr>
              <w:t> 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sz w:val="24"/>
              </w:rPr>
            </w:pPr>
            <w:r>
              <w:rPr>
                <w:rFonts w:ascii="宋体" w:cs="宋体"/>
                <w:kern w:val="0"/>
                <w:sz w:val="20"/>
                <w:szCs w:val="20"/>
              </w:rPr>
              <w:t>0</w:t>
            </w:r>
          </w:p>
        </w:tc>
      </w:tr>
    </w:tbl>
    <w:p>
      <w:pPr>
        <w:widowControl/>
        <w:shd w:val="clear" w:color="auto" w:fill="FFFFFF"/>
        <w:jc w:val="center"/>
        <w:rPr>
          <w:rFonts w:ascii="宋体" w:cs="宋体"/>
          <w:sz w:val="24"/>
        </w:rPr>
      </w:pPr>
    </w:p>
    <w:p>
      <w:pPr>
        <w:ind w:firstLine="570"/>
        <w:rPr>
          <w:rFonts w:ascii="黑体" w:hAnsi="黑体" w:eastAsia="黑体"/>
          <w:sz w:val="32"/>
          <w:szCs w:val="32"/>
        </w:rPr>
      </w:pPr>
      <w:r>
        <w:rPr>
          <w:rFonts w:hint="eastAsia" w:ascii="黑体" w:hAnsi="黑体" w:eastAsia="黑体"/>
          <w:sz w:val="32"/>
          <w:szCs w:val="32"/>
        </w:rPr>
        <w:t>五、存在的主要问题及改进情况</w:t>
      </w:r>
    </w:p>
    <w:p>
      <w:pPr>
        <w:pStyle w:val="5"/>
        <w:spacing w:before="0" w:beforeAutospacing="0" w:after="0" w:afterAutospacing="0" w:line="640" w:lineRule="exact"/>
        <w:ind w:firstLine="640" w:firstLineChars="200"/>
        <w:rPr>
          <w:rFonts w:ascii="仿宋_GB2312" w:eastAsia="仿宋_GB2312"/>
          <w:kern w:val="2"/>
          <w:sz w:val="32"/>
          <w:szCs w:val="32"/>
        </w:rPr>
      </w:pPr>
      <w:r>
        <w:rPr>
          <w:rFonts w:ascii="仿宋_GB2312" w:eastAsia="仿宋_GB2312"/>
          <w:kern w:val="2"/>
          <w:sz w:val="32"/>
          <w:szCs w:val="32"/>
        </w:rPr>
        <w:t>2020</w:t>
      </w:r>
      <w:r>
        <w:rPr>
          <w:rFonts w:hint="eastAsia" w:ascii="仿宋_GB2312" w:eastAsia="仿宋_GB2312"/>
          <w:kern w:val="2"/>
          <w:sz w:val="32"/>
          <w:szCs w:val="32"/>
        </w:rPr>
        <w:t>年，济宁市生态环境局微山县分局政务公开工作水平进一步提升，但仍存在公开内容不准确，格式不规范，不方便查找等情况，政策解读形式不够丰富等情况。</w:t>
      </w:r>
    </w:p>
    <w:p>
      <w:pPr>
        <w:spacing w:line="640" w:lineRule="exact"/>
        <w:ind w:firstLine="570"/>
        <w:rPr>
          <w:rFonts w:ascii="仿宋_GB2312" w:eastAsia="仿宋_GB2312"/>
          <w:sz w:val="32"/>
          <w:szCs w:val="32"/>
        </w:rPr>
      </w:pPr>
      <w:r>
        <w:rPr>
          <w:rFonts w:hint="eastAsia" w:ascii="仿宋_GB2312" w:eastAsia="仿宋_GB2312"/>
          <w:sz w:val="32"/>
          <w:szCs w:val="32"/>
        </w:rPr>
        <w:t>下一步，我局将加强制度建设，规范公开程序，继续做好信息发布、政策解读、回应关切等工作，加强环境领域信息公开，以公开提升群众满意度，促进环境质量持续改善。</w:t>
      </w:r>
    </w:p>
    <w:p>
      <w:pPr>
        <w:pStyle w:val="5"/>
        <w:widowControl/>
        <w:shd w:val="clear" w:color="auto" w:fill="FFFFFF"/>
        <w:spacing w:before="0" w:beforeAutospacing="0" w:after="0" w:afterAutospacing="0" w:line="640" w:lineRule="exact"/>
        <w:ind w:firstLine="420"/>
        <w:jc w:val="both"/>
        <w:rPr>
          <w:rFonts w:ascii="仿宋_GB2312" w:hAnsi="黑体" w:eastAsia="仿宋_GB2312" w:cs="宋体"/>
          <w:bCs/>
          <w:sz w:val="32"/>
          <w:szCs w:val="32"/>
          <w:shd w:val="clear" w:color="auto" w:fill="FFFFFF"/>
        </w:rPr>
      </w:pPr>
      <w:r>
        <w:rPr>
          <w:rFonts w:hint="eastAsia" w:ascii="仿宋_GB2312" w:hAnsi="黑体" w:eastAsia="仿宋_GB2312" w:cs="宋体"/>
          <w:bCs/>
          <w:sz w:val="32"/>
          <w:szCs w:val="32"/>
          <w:shd w:val="clear" w:color="auto" w:fill="FFFFFF"/>
        </w:rPr>
        <w:t>六、其他需要报告的事项</w:t>
      </w:r>
    </w:p>
    <w:p>
      <w:pPr>
        <w:pStyle w:val="5"/>
        <w:widowControl/>
        <w:shd w:val="clear" w:color="auto" w:fill="FFFFFF"/>
        <w:spacing w:before="0" w:beforeAutospacing="0" w:after="0" w:afterAutospacing="0" w:line="640" w:lineRule="exact"/>
        <w:ind w:firstLine="420"/>
        <w:jc w:val="both"/>
        <w:rPr>
          <w:rFonts w:ascii="仿宋_GB2312" w:hAnsi="宋体" w:eastAsia="仿宋_GB2312" w:cs="宋体"/>
          <w:sz w:val="32"/>
          <w:szCs w:val="32"/>
        </w:rPr>
      </w:pPr>
      <w:r>
        <w:rPr>
          <w:rFonts w:hint="eastAsia" w:ascii="仿宋_GB2312" w:hAnsi="宋体" w:eastAsia="仿宋_GB2312" w:cs="宋体"/>
          <w:sz w:val="32"/>
          <w:szCs w:val="32"/>
        </w:rPr>
        <w:t>无</w:t>
      </w:r>
    </w:p>
    <w:p/>
    <w:p>
      <w:pPr>
        <w:rPr>
          <w:rFonts w:ascii="??_GB2312" w:eastAsia="Times New Roman"/>
          <w:sz w:val="32"/>
          <w:szCs w:val="32"/>
        </w:rPr>
      </w:pPr>
      <w:r>
        <w:t xml:space="preserve">                                          </w:t>
      </w:r>
      <w:r>
        <w:rPr>
          <w:rFonts w:ascii="??_GB2312" w:eastAsia="Times New Roman"/>
          <w:sz w:val="32"/>
          <w:szCs w:val="32"/>
        </w:rPr>
        <w:t>济宁市生态环境局微山县分局</w:t>
      </w:r>
    </w:p>
    <w:p>
      <w:pPr>
        <w:rPr>
          <w:rFonts w:ascii="??_GB2312" w:eastAsia="Times New Roman"/>
          <w:sz w:val="32"/>
          <w:szCs w:val="32"/>
        </w:rPr>
      </w:pPr>
      <w:r>
        <w:rPr>
          <w:rFonts w:ascii="??_GB2312" w:eastAsia="Times New Roman"/>
          <w:sz w:val="32"/>
          <w:szCs w:val="32"/>
        </w:rPr>
        <w:t xml:space="preserve">                                  2020年12月28日</w:t>
      </w:r>
    </w:p>
    <w:sectPr>
      <w:footerReference r:id="rId3" w:type="default"/>
      <w:footerReference r:id="rId4" w:type="even"/>
      <w:pgSz w:w="11906" w:h="16838"/>
      <w:pgMar w:top="1701" w:right="1474" w:bottom="1701" w:left="1588"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inheri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cs="Calibri"/>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011"/>
    <w:rsid w:val="0001621F"/>
    <w:rsid w:val="00035007"/>
    <w:rsid w:val="0003775D"/>
    <w:rsid w:val="0005798A"/>
    <w:rsid w:val="000615B0"/>
    <w:rsid w:val="0009619E"/>
    <w:rsid w:val="000B4D8D"/>
    <w:rsid w:val="00107836"/>
    <w:rsid w:val="00115F55"/>
    <w:rsid w:val="00136EF6"/>
    <w:rsid w:val="00161F66"/>
    <w:rsid w:val="00174F30"/>
    <w:rsid w:val="00193598"/>
    <w:rsid w:val="001A7E09"/>
    <w:rsid w:val="001B5255"/>
    <w:rsid w:val="001D5DE1"/>
    <w:rsid w:val="00243CE8"/>
    <w:rsid w:val="00251598"/>
    <w:rsid w:val="00280BEF"/>
    <w:rsid w:val="002B2D83"/>
    <w:rsid w:val="003024A5"/>
    <w:rsid w:val="00311B84"/>
    <w:rsid w:val="003766F3"/>
    <w:rsid w:val="003C0F3D"/>
    <w:rsid w:val="003C48F4"/>
    <w:rsid w:val="003D7B4D"/>
    <w:rsid w:val="00460488"/>
    <w:rsid w:val="00466914"/>
    <w:rsid w:val="004878F3"/>
    <w:rsid w:val="004A0F83"/>
    <w:rsid w:val="004B4035"/>
    <w:rsid w:val="004C2C8C"/>
    <w:rsid w:val="004C5E26"/>
    <w:rsid w:val="00502A57"/>
    <w:rsid w:val="005114DA"/>
    <w:rsid w:val="005A0C20"/>
    <w:rsid w:val="005B1C6C"/>
    <w:rsid w:val="00643331"/>
    <w:rsid w:val="00665604"/>
    <w:rsid w:val="0067179E"/>
    <w:rsid w:val="0067582E"/>
    <w:rsid w:val="006929F0"/>
    <w:rsid w:val="006C3011"/>
    <w:rsid w:val="00714FF0"/>
    <w:rsid w:val="007509A0"/>
    <w:rsid w:val="007D7646"/>
    <w:rsid w:val="00815D54"/>
    <w:rsid w:val="00844EF6"/>
    <w:rsid w:val="008511AD"/>
    <w:rsid w:val="008B122C"/>
    <w:rsid w:val="008E0EBD"/>
    <w:rsid w:val="008F375D"/>
    <w:rsid w:val="009053BB"/>
    <w:rsid w:val="00937F1E"/>
    <w:rsid w:val="00966883"/>
    <w:rsid w:val="0097456D"/>
    <w:rsid w:val="00975C16"/>
    <w:rsid w:val="00977137"/>
    <w:rsid w:val="00983E7C"/>
    <w:rsid w:val="009A4DA4"/>
    <w:rsid w:val="009C1ADF"/>
    <w:rsid w:val="009E1101"/>
    <w:rsid w:val="009E6D14"/>
    <w:rsid w:val="009F5B92"/>
    <w:rsid w:val="00A141B7"/>
    <w:rsid w:val="00A358F4"/>
    <w:rsid w:val="00A535C6"/>
    <w:rsid w:val="00A81733"/>
    <w:rsid w:val="00A824C0"/>
    <w:rsid w:val="00AC545E"/>
    <w:rsid w:val="00AC5A8A"/>
    <w:rsid w:val="00AD1757"/>
    <w:rsid w:val="00AE27B3"/>
    <w:rsid w:val="00B2620C"/>
    <w:rsid w:val="00B8363A"/>
    <w:rsid w:val="00BC15D3"/>
    <w:rsid w:val="00BC3E0F"/>
    <w:rsid w:val="00BC7111"/>
    <w:rsid w:val="00BF5369"/>
    <w:rsid w:val="00C134D2"/>
    <w:rsid w:val="00C54087"/>
    <w:rsid w:val="00C921ED"/>
    <w:rsid w:val="00CE1551"/>
    <w:rsid w:val="00CE4E03"/>
    <w:rsid w:val="00CF24C2"/>
    <w:rsid w:val="00D168D0"/>
    <w:rsid w:val="00D23811"/>
    <w:rsid w:val="00D2410A"/>
    <w:rsid w:val="00D35232"/>
    <w:rsid w:val="00D71F37"/>
    <w:rsid w:val="00D77B70"/>
    <w:rsid w:val="00DA4573"/>
    <w:rsid w:val="00DE625F"/>
    <w:rsid w:val="00E20FFD"/>
    <w:rsid w:val="00E23D91"/>
    <w:rsid w:val="00E3392D"/>
    <w:rsid w:val="00E55E60"/>
    <w:rsid w:val="00E94790"/>
    <w:rsid w:val="00ED1E35"/>
    <w:rsid w:val="00ED4183"/>
    <w:rsid w:val="00EF2AAC"/>
    <w:rsid w:val="00F272D0"/>
    <w:rsid w:val="00F3183C"/>
    <w:rsid w:val="00F63348"/>
    <w:rsid w:val="00F63F48"/>
    <w:rsid w:val="00F650C7"/>
    <w:rsid w:val="00F97AD6"/>
    <w:rsid w:val="00FA5BB0"/>
    <w:rsid w:val="00FE7BBB"/>
    <w:rsid w:val="02240089"/>
    <w:rsid w:val="05EC7558"/>
    <w:rsid w:val="1B1861AF"/>
    <w:rsid w:val="1B5C057B"/>
    <w:rsid w:val="1C2561D3"/>
    <w:rsid w:val="27C54EF9"/>
    <w:rsid w:val="3D1F46D6"/>
    <w:rsid w:val="49140DF7"/>
    <w:rsid w:val="49A4118F"/>
    <w:rsid w:val="4AC300DF"/>
    <w:rsid w:val="4B150672"/>
    <w:rsid w:val="4FF22469"/>
    <w:rsid w:val="5BF76DA4"/>
    <w:rsid w:val="6A076B53"/>
    <w:rsid w:val="6EAF7E74"/>
    <w:rsid w:val="792742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2"/>
    <w:qFormat/>
    <w:uiPriority w:val="99"/>
    <w:pPr>
      <w:tabs>
        <w:tab w:val="center" w:pos="4153"/>
        <w:tab w:val="right" w:pos="8306"/>
      </w:tabs>
      <w:snapToGrid w:val="0"/>
      <w:jc w:val="left"/>
    </w:pPr>
    <w:rPr>
      <w:kern w:val="0"/>
      <w:sz w:val="18"/>
      <w:szCs w:val="18"/>
    </w:rPr>
  </w:style>
  <w:style w:type="paragraph" w:styleId="4">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jc w:val="left"/>
    </w:pPr>
    <w:rPr>
      <w:kern w:val="0"/>
      <w:sz w:val="24"/>
    </w:rPr>
  </w:style>
  <w:style w:type="character" w:styleId="8">
    <w:name w:val="Hyperlink"/>
    <w:basedOn w:val="7"/>
    <w:uiPriority w:val="99"/>
    <w:rPr>
      <w:rFonts w:cs="Times New Roman"/>
      <w:color w:val="0000FF"/>
      <w:u w:val="single"/>
    </w:rPr>
  </w:style>
  <w:style w:type="character" w:customStyle="1" w:styleId="9">
    <w:name w:val="Balloon Text Char"/>
    <w:basedOn w:val="7"/>
    <w:link w:val="2"/>
    <w:semiHidden/>
    <w:locked/>
    <w:uiPriority w:val="99"/>
    <w:rPr>
      <w:rFonts w:ascii="Calibri" w:hAnsi="Calibri" w:eastAsia="宋体" w:cs="Times New Roman"/>
      <w:sz w:val="18"/>
      <w:szCs w:val="18"/>
    </w:rPr>
  </w:style>
  <w:style w:type="character" w:customStyle="1" w:styleId="10">
    <w:name w:val="Footer Char"/>
    <w:basedOn w:val="7"/>
    <w:link w:val="3"/>
    <w:locked/>
    <w:uiPriority w:val="99"/>
    <w:rPr>
      <w:rFonts w:ascii="Calibri" w:hAnsi="Calibri" w:eastAsia="宋体" w:cs="Times New Roman"/>
      <w:sz w:val="18"/>
    </w:rPr>
  </w:style>
  <w:style w:type="character" w:customStyle="1" w:styleId="11">
    <w:name w:val="Header Char"/>
    <w:basedOn w:val="7"/>
    <w:link w:val="4"/>
    <w:semiHidden/>
    <w:qFormat/>
    <w:locked/>
    <w:uiPriority w:val="99"/>
    <w:rPr>
      <w:rFonts w:ascii="Calibri" w:hAnsi="Calibri" w:eastAsia="宋体" w:cs="Times New Roman"/>
      <w:sz w:val="18"/>
      <w:szCs w:val="18"/>
    </w:rPr>
  </w:style>
  <w:style w:type="character" w:customStyle="1" w:styleId="12">
    <w:name w:val="Footer Char1"/>
    <w:basedOn w:val="7"/>
    <w:link w:val="3"/>
    <w:semiHidden/>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563</Words>
  <Characters>3215</Characters>
  <Lines>0</Lines>
  <Paragraphs>0</Paragraphs>
  <TotalTime>109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2021-01-20T02:42:00Z</dcterms:created>
  <dc:creator>Administrator</dc:creator>
  <cp:lastModifiedBy>春暖花开</cp:lastModifiedBy>
  <cp:lastPrinted>2021-01-25T07:57:00Z</cp:lastPrinted>
  <dcterms:modified xsi:type="dcterms:W3CDTF">2021-10-21T03:25:06Z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4D7CA726870F4547B2B6DBE50B261FE8</vt:lpwstr>
  </property>
</Properties>
</file>