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555" w:lineRule="atLeast"/>
        <w:ind w:left="0" w:right="0"/>
        <w:jc w:val="center"/>
      </w:pPr>
      <w:r>
        <w:rPr>
          <w:rFonts w:ascii="方正小标宋简体" w:hAnsi="方正小标宋简体" w:eastAsia="方正小标宋简体" w:cs="方正小标宋简体"/>
          <w:sz w:val="43"/>
          <w:szCs w:val="43"/>
          <w:shd w:val="clear" w:fill="FFFFFF"/>
        </w:rPr>
        <w:t>微山县医保局</w:t>
      </w:r>
    </w:p>
    <w:p>
      <w:pPr>
        <w:pStyle w:val="6"/>
        <w:keepNext w:val="0"/>
        <w:keepLines w:val="0"/>
        <w:widowControl/>
        <w:suppressLineNumbers w:val="0"/>
        <w:shd w:val="clear" w:fill="FFFFFF"/>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shd w:val="clear" w:fill="FFFFFF"/>
        </w:rPr>
        <w:t>2020年政府信息公开工作年度报告</w:t>
      </w:r>
    </w:p>
    <w:p>
      <w:pPr>
        <w:pStyle w:val="6"/>
        <w:keepNext w:val="0"/>
        <w:keepLines w:val="0"/>
        <w:widowControl/>
        <w:suppressLineNumbers w:val="0"/>
        <w:shd w:val="clear" w:fill="FFFFFF"/>
        <w:spacing w:before="0" w:beforeAutospacing="0" w:after="0" w:afterAutospacing="0" w:line="555" w:lineRule="atLeast"/>
        <w:ind w:left="0" w:right="0" w:firstLine="420"/>
        <w:jc w:val="center"/>
      </w:pPr>
      <w:r>
        <w:rPr>
          <w:rStyle w:val="10"/>
          <w:rFonts w:hint="eastAsia" w:ascii="宋体" w:hAnsi="宋体" w:eastAsia="宋体" w:cs="宋体"/>
          <w:sz w:val="43"/>
          <w:szCs w:val="43"/>
          <w:shd w:val="clear" w:fill="FFFFFF"/>
        </w:rPr>
        <w:t> </w:t>
      </w:r>
    </w:p>
    <w:p>
      <w:pPr>
        <w:pStyle w:val="6"/>
        <w:keepNext w:val="0"/>
        <w:keepLines w:val="0"/>
        <w:widowControl/>
        <w:suppressLineNumbers w:val="0"/>
        <w:shd w:val="clear" w:fill="FFFFFF"/>
        <w:spacing w:before="0" w:beforeAutospacing="0" w:after="0" w:afterAutospacing="0" w:line="420" w:lineRule="atLeast"/>
        <w:ind w:left="0" w:right="0" w:firstLine="645"/>
        <w:jc w:val="both"/>
      </w:pPr>
      <w:r>
        <w:rPr>
          <w:rFonts w:ascii="黑体" w:hAnsi="宋体" w:eastAsia="黑体" w:cs="黑体"/>
          <w:sz w:val="31"/>
          <w:szCs w:val="31"/>
          <w:shd w:val="clear" w:fill="FFFFFF"/>
        </w:rPr>
        <w:t>一、总体情况</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ascii="仿宋" w:hAnsi="仿宋" w:eastAsia="仿宋" w:cs="仿宋"/>
          <w:sz w:val="31"/>
          <w:szCs w:val="31"/>
          <w:shd w:val="clear" w:fill="FFFFFF"/>
        </w:rPr>
        <w:t>2020年，我局在县委、县政府的领导下，根据《中华人民共和国政府信息公开条例》精神有关要求，紧紧围绕医疗保障领域的热点问题，以公开为常态、不公开为例外，认真办理落实了公开政府信息的各项工作任务并取得了一定成效。</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一）加强组织领导，建立健全工作机制。成立了由主要领导为组长，分管领导为副组长，相关科室负责人为成员的政府信息公开工作领导小组，明确局办公室牵头政府信息公开工作，具体负责政府信息公开内容上报、更新、维护、组织协调等日常工作。</w:t>
      </w:r>
      <w:r>
        <w:rPr>
          <w:rFonts w:hint="eastAsia" w:ascii="仿宋" w:hAnsi="仿宋" w:eastAsia="仿宋" w:cs="仿宋"/>
          <w:sz w:val="31"/>
          <w:szCs w:val="31"/>
        </w:rPr>
        <w:t>各科室和事业单位提供信息，由局办公室负责收集、整理政府信息，统一发布，做到了一级抓一级，层层抓落实，形成了职责分明、分工合理、各负其责、齐抓共管的工作局面。坚持以改善民生为重点，以群众满意为标准，做到政府信息公开与民政业务工作同安排、同部署、同检查，保证政府信息公开工作年初有计划，年终有总结。</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（二）深入推进重点领域信息公开</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一是加大医疗救助信息公开力度。重点围绕医疗救助事项，全面公开救助条件和时限、救助程序、救助标准、救助人数、救助水平、资金支出等相关信息。</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二是加大医疗保障信息公开力度。主动公开现行有效的制度、政策、标准、经办流程。定期公开参保人数、待遇支付、基金收支情况，及时发布医保定点医院、药店及药品、诊疗项目目录等。</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三是高标准高质量完成医保政务公开事项标准目录。严格对照权责清单，对医保政务服务事项进行逐项梳理、流程优化，高标准高质量的完成了县级医疗保险领域基层政务公开标准目录编制工作。</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（三）依申请公开。</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2020年度未接到政府信息公开申请。</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（四）政府信息管理。</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按照《政府信息公开条例》要求，严格执行政府信息公开保密审查制度和责任追究制度，主动发布的政府信息由相关科室负责人和分管领导逐级审核确认，确保政府信息公开程序合法、公开及时。</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黑体" w:hAnsi="宋体" w:eastAsia="黑体" w:cs="黑体"/>
          <w:sz w:val="31"/>
          <w:szCs w:val="31"/>
          <w:shd w:val="clear" w:fill="FFFFFF"/>
        </w:rPr>
        <w:t>二、主动公开政府信息情况</w:t>
      </w:r>
    </w:p>
    <w:tbl>
      <w:tblPr>
        <w:tblStyle w:val="8"/>
        <w:tblW w:w="8640" w:type="dxa"/>
        <w:jc w:val="center"/>
        <w:shd w:val="clear" w:color="auto" w:fill="auto"/>
        <w:tblLayout w:type="autofit"/>
        <w:tblCellMar>
          <w:top w:w="15" w:type="dxa"/>
          <w:left w:w="15" w:type="dxa"/>
          <w:bottom w:w="15" w:type="dxa"/>
          <w:right w:w="15" w:type="dxa"/>
        </w:tblCellMar>
      </w:tblPr>
      <w:tblGrid>
        <w:gridCol w:w="3300"/>
        <w:gridCol w:w="1995"/>
        <w:gridCol w:w="1350"/>
        <w:gridCol w:w="1995"/>
      </w:tblGrid>
      <w:tr>
        <w:tblPrEx>
          <w:shd w:val="clear" w:color="auto" w:fill="auto"/>
          <w:tblCellMar>
            <w:top w:w="15" w:type="dxa"/>
            <w:left w:w="15" w:type="dxa"/>
            <w:bottom w:w="15" w:type="dxa"/>
            <w:right w:w="15" w:type="dxa"/>
          </w:tblCellMar>
        </w:tblPrEx>
        <w:trPr>
          <w:trHeight w:val="450" w:hRule="atLeast"/>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第二十条第（一）项</w:t>
            </w:r>
          </w:p>
        </w:tc>
      </w:tr>
      <w:tr>
        <w:tblPrEx>
          <w:shd w:val="clear" w:color="auto" w:fill="auto"/>
          <w:tblCellMar>
            <w:top w:w="15" w:type="dxa"/>
            <w:left w:w="15" w:type="dxa"/>
            <w:bottom w:w="15" w:type="dxa"/>
            <w:right w:w="15" w:type="dxa"/>
          </w:tblCellMar>
        </w:tblPrEx>
        <w:trPr>
          <w:trHeight w:val="7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ascii="Calibri" w:hAnsi="Calibri" w:cs="Calibri"/>
                <w:sz w:val="24"/>
                <w:szCs w:val="24"/>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hint="default" w:ascii="Calibri" w:hAnsi="Calibri" w:cs="Calibri"/>
                <w:sz w:val="24"/>
                <w:szCs w:val="24"/>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对外公开总数量</w:t>
            </w:r>
          </w:p>
        </w:tc>
      </w:tr>
      <w:tr>
        <w:tblPrEx>
          <w:shd w:val="clear" w:color="auto" w:fill="auto"/>
          <w:tblCellMar>
            <w:top w:w="15" w:type="dxa"/>
            <w:left w:w="15" w:type="dxa"/>
            <w:bottom w:w="15" w:type="dxa"/>
            <w:right w:w="15" w:type="dxa"/>
          </w:tblCellMar>
        </w:tblPrEx>
        <w:trPr>
          <w:trHeight w:val="46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宋体"/>
                <w:sz w:val="21"/>
                <w:szCs w:val="21"/>
                <w:lang w:eastAsia="zh-CN"/>
              </w:rPr>
            </w:pPr>
            <w:bookmarkStart w:id="0" w:name="_GoBack"/>
            <w:bookmarkEnd w:id="0"/>
            <w:r>
              <w:rPr>
                <w:rFonts w:hint="eastAsia" w:ascii="宋体" w:hAnsi="宋体" w:eastAsia="宋体" w:cs="宋体"/>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r>
      <w:tr>
        <w:tblPrEx>
          <w:shd w:val="clear" w:color="auto" w:fill="auto"/>
          <w:tblCellMar>
            <w:top w:w="15" w:type="dxa"/>
            <w:left w:w="15" w:type="dxa"/>
            <w:bottom w:w="15" w:type="dxa"/>
            <w:right w:w="15" w:type="dxa"/>
          </w:tblCellMar>
        </w:tblPrEx>
        <w:trPr>
          <w:trHeight w:val="42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仿宋"/>
                <w:sz w:val="21"/>
                <w:szCs w:val="21"/>
                <w:lang w:eastAsia="zh-CN"/>
              </w:rPr>
            </w:pPr>
            <w:r>
              <w:rPr>
                <w:rFonts w:hint="eastAsia" w:ascii="宋体" w:hAnsi="宋体" w:eastAsia="宋体" w:cs="宋体"/>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r>
      <w:tr>
        <w:tblPrEx>
          <w:shd w:val="clear" w:color="auto" w:fill="auto"/>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第二十条第（五）项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处理决定数量</w:t>
            </w:r>
          </w:p>
        </w:tc>
      </w:tr>
      <w:tr>
        <w:tblPrEx>
          <w:shd w:val="clear" w:color="auto" w:fill="auto"/>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r>
      <w:tr>
        <w:tblPrEx>
          <w:shd w:val="clear" w:color="auto" w:fill="auto"/>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r>
      <w:tr>
        <w:tblPrEx>
          <w:shd w:val="clear" w:color="auto" w:fill="auto"/>
          <w:tblCellMar>
            <w:top w:w="15" w:type="dxa"/>
            <w:left w:w="15" w:type="dxa"/>
            <w:bottom w:w="15" w:type="dxa"/>
            <w:right w:w="15" w:type="dxa"/>
          </w:tblCellMar>
        </w:tblPrEx>
        <w:trPr>
          <w:trHeight w:val="36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第二十条第（六）项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处理决定数量</w:t>
            </w:r>
          </w:p>
        </w:tc>
      </w:tr>
      <w:tr>
        <w:tblPrEx>
          <w:shd w:val="clear" w:color="auto" w:fill="auto"/>
          <w:tblCellMar>
            <w:top w:w="15" w:type="dxa"/>
            <w:left w:w="15" w:type="dxa"/>
            <w:bottom w:w="15" w:type="dxa"/>
            <w:right w:w="15" w:type="dxa"/>
          </w:tblCellMar>
        </w:tblPrEx>
        <w:trPr>
          <w:trHeight w:val="39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eastAsia="仿宋"/>
                <w:sz w:val="21"/>
                <w:szCs w:val="21"/>
                <w:lang w:val="en-US" w:eastAsia="zh-CN"/>
              </w:rPr>
            </w:pPr>
            <w:r>
              <w:rPr>
                <w:sz w:val="21"/>
                <w:szCs w:val="21"/>
              </w:rPr>
              <w:t>　</w:t>
            </w:r>
            <w:r>
              <w:rPr>
                <w:rFonts w:hint="eastAsia" w:ascii="宋体" w:hAnsi="宋体" w:eastAsia="宋体" w:cs="宋体"/>
                <w:sz w:val="24"/>
                <w:szCs w:val="24"/>
                <w:lang w:val="en-US" w:eastAsia="zh-CN"/>
              </w:rPr>
              <w:t>+1</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40"/>
              <w:rPr>
                <w:sz w:val="21"/>
                <w:szCs w:val="21"/>
              </w:rPr>
            </w:pPr>
            <w:r>
              <w:rPr>
                <w:rFonts w:hint="eastAsia" w:ascii="宋体" w:hAnsi="宋体" w:eastAsia="宋体" w:cs="宋体"/>
                <w:sz w:val="24"/>
                <w:szCs w:val="24"/>
              </w:rPr>
              <w:t>1</w:t>
            </w:r>
          </w:p>
        </w:tc>
      </w:tr>
      <w:tr>
        <w:tblPrEx>
          <w:shd w:val="clear" w:color="auto" w:fill="auto"/>
          <w:tblCellMar>
            <w:top w:w="15" w:type="dxa"/>
            <w:left w:w="15" w:type="dxa"/>
            <w:bottom w:w="15" w:type="dxa"/>
            <w:right w:w="15" w:type="dxa"/>
          </w:tblCellMar>
        </w:tblPrEx>
        <w:trPr>
          <w:trHeight w:val="37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仿宋"/>
                <w:sz w:val="21"/>
                <w:szCs w:val="21"/>
                <w:lang w:eastAsia="zh-CN"/>
              </w:rPr>
            </w:pPr>
            <w:r>
              <w:rPr>
                <w:sz w:val="21"/>
                <w:szCs w:val="21"/>
              </w:rPr>
              <w:t>　</w:t>
            </w:r>
            <w:r>
              <w:rPr>
                <w:rFonts w:hint="eastAsia" w:ascii="宋体" w:hAnsi="宋体" w:eastAsia="宋体" w:cs="宋体"/>
                <w:sz w:val="24"/>
                <w:szCs w:val="24"/>
                <w:lang w:val="en-US" w:eastAsia="zh-CN"/>
              </w:rPr>
              <w:t>0</w:t>
            </w:r>
          </w:p>
        </w:tc>
      </w:tr>
      <w:tr>
        <w:tblPrEx>
          <w:shd w:val="clear" w:color="auto" w:fill="auto"/>
          <w:tblCellMar>
            <w:top w:w="15" w:type="dxa"/>
            <w:left w:w="15" w:type="dxa"/>
            <w:bottom w:w="15" w:type="dxa"/>
            <w:right w:w="15" w:type="dxa"/>
          </w:tblCellMar>
        </w:tblPrEx>
        <w:trPr>
          <w:trHeight w:val="42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第二十条第（八）项</w:t>
            </w:r>
          </w:p>
        </w:tc>
      </w:tr>
      <w:tr>
        <w:tblPrEx>
          <w:shd w:val="clear" w:color="auto" w:fill="auto"/>
          <w:tblCellMar>
            <w:top w:w="15" w:type="dxa"/>
            <w:left w:w="15" w:type="dxa"/>
            <w:bottom w:w="15" w:type="dxa"/>
            <w:right w:w="15" w:type="dxa"/>
          </w:tblCellMar>
        </w:tblPrEx>
        <w:trPr>
          <w:trHeight w:val="24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上一年项目数量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本年增/减</w:t>
            </w:r>
          </w:p>
        </w:tc>
      </w:tr>
      <w:tr>
        <w:tblPrEx>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0 </w:t>
            </w:r>
          </w:p>
        </w:tc>
      </w:tr>
      <w:tr>
        <w:tblPrEx>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第二十条第（九）项</w:t>
            </w:r>
          </w:p>
        </w:tc>
      </w:tr>
      <w:tr>
        <w:tblPrEx>
          <w:tblCellMar>
            <w:top w:w="15" w:type="dxa"/>
            <w:left w:w="15" w:type="dxa"/>
            <w:bottom w:w="15" w:type="dxa"/>
            <w:right w:w="15" w:type="dxa"/>
          </w:tblCellMar>
        </w:tblPrEx>
        <w:trPr>
          <w:trHeight w:val="52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采购项目数量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sz w:val="24"/>
                <w:szCs w:val="24"/>
              </w:rPr>
              <w:t>采购总金额</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rPr>
              <w:t>　</w:t>
            </w:r>
            <w:r>
              <w:rPr>
                <w:rFonts w:hint="eastAsia" w:ascii="宋体" w:hAnsi="宋体" w:eastAsia="宋体" w:cs="宋体"/>
                <w:sz w:val="24"/>
                <w:szCs w:val="24"/>
              </w:rPr>
              <w:t>0</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sz w:val="24"/>
                <w:szCs w:val="24"/>
              </w:rPr>
              <w:t>0</w:t>
            </w:r>
          </w:p>
        </w:tc>
      </w:tr>
    </w:tbl>
    <w:p>
      <w:pPr>
        <w:pStyle w:val="6"/>
        <w:keepNext w:val="0"/>
        <w:keepLines w:val="0"/>
        <w:widowControl/>
        <w:suppressLineNumbers w:val="0"/>
        <w:shd w:val="clear" w:fill="FFFFFF"/>
        <w:spacing w:before="0" w:beforeAutospacing="0" w:after="0" w:afterAutospacing="0" w:line="420" w:lineRule="atLeast"/>
        <w:ind w:left="0" w:right="0" w:firstLine="420"/>
        <w:jc w:val="both"/>
      </w:pPr>
      <w:r>
        <w:rPr>
          <w:rStyle w:val="10"/>
          <w:rFonts w:hint="eastAsia" w:ascii="宋体" w:hAnsi="宋体" w:eastAsia="宋体" w:cs="宋体"/>
          <w:sz w:val="24"/>
          <w:szCs w:val="24"/>
          <w:shd w:val="clear" w:fill="FFFFFF"/>
        </w:rPr>
        <w:t> </w:t>
      </w:r>
    </w:p>
    <w:p>
      <w:pPr>
        <w:pStyle w:val="6"/>
        <w:keepNext w:val="0"/>
        <w:keepLines w:val="0"/>
        <w:widowControl/>
        <w:suppressLineNumbers w:val="0"/>
        <w:shd w:val="clear" w:fill="FFFFFF"/>
        <w:spacing w:before="0" w:beforeAutospacing="0" w:after="240" w:afterAutospacing="0" w:line="420" w:lineRule="atLeast"/>
        <w:ind w:left="0" w:right="0" w:firstLine="420"/>
        <w:jc w:val="both"/>
      </w:pPr>
      <w:r>
        <w:rPr>
          <w:rFonts w:hint="eastAsia" w:ascii="黑体" w:hAnsi="宋体" w:eastAsia="黑体" w:cs="黑体"/>
          <w:sz w:val="31"/>
          <w:szCs w:val="31"/>
          <w:shd w:val="clear" w:fill="FFFFFF"/>
        </w:rPr>
        <w:t>三、收到和处理政府信息公开申请情况</w:t>
      </w:r>
    </w:p>
    <w:tbl>
      <w:tblPr>
        <w:tblStyle w:val="8"/>
        <w:tblW w:w="93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6"/>
        <w:gridCol w:w="894"/>
        <w:gridCol w:w="2468"/>
        <w:gridCol w:w="600"/>
        <w:gridCol w:w="780"/>
        <w:gridCol w:w="743"/>
        <w:gridCol w:w="802"/>
        <w:gridCol w:w="963"/>
        <w:gridCol w:w="699"/>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402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（本列数据的勾稽关系为：第一项加第二项之和，等于第三项加第四项之和）</w:t>
            </w:r>
          </w:p>
        </w:tc>
        <w:tc>
          <w:tcPr>
            <w:tcW w:w="5272"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402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自然人</w:t>
            </w:r>
          </w:p>
        </w:tc>
        <w:tc>
          <w:tcPr>
            <w:tcW w:w="3987"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法人或其他组织</w:t>
            </w:r>
          </w:p>
        </w:tc>
        <w:tc>
          <w:tcPr>
            <w:tcW w:w="6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jc w:val="center"/>
        </w:trPr>
        <w:tc>
          <w:tcPr>
            <w:tcW w:w="402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商业企业</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科研机构</w:t>
            </w:r>
          </w:p>
        </w:tc>
        <w:tc>
          <w:tcPr>
            <w:tcW w:w="8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社会公益组织</w:t>
            </w:r>
          </w:p>
        </w:tc>
        <w:tc>
          <w:tcPr>
            <w:tcW w:w="9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法律服务机构</w:t>
            </w:r>
          </w:p>
        </w:tc>
        <w:tc>
          <w:tcPr>
            <w:tcW w:w="6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其他</w:t>
            </w:r>
          </w:p>
        </w:tc>
        <w:tc>
          <w:tcPr>
            <w:tcW w:w="6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402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一、本年新收政府信息公开申请数量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402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二、上年结转政府信息公开申请数量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66"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三、本年度办理结果</w:t>
            </w:r>
          </w:p>
        </w:tc>
        <w:tc>
          <w:tcPr>
            <w:tcW w:w="336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（一）予以公开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6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（二）部分公开（区分处理的，只计这一情形，不计其他情形）</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default" w:ascii="仿宋" w:hAnsi="仿宋" w:eastAsia="仿宋" w:cs="仿宋"/>
                <w:spacing w:val="-6"/>
                <w:kern w:val="0"/>
                <w:sz w:val="24"/>
                <w:szCs w:val="24"/>
                <w:lang w:val="en-US" w:eastAsia="zh-CN" w:bidi="ar"/>
              </w:rPr>
            </w:pPr>
            <w:r>
              <w:rPr>
                <w:rFonts w:hint="eastAsia" w:ascii="仿宋" w:hAnsi="仿宋" w:cs="仿宋"/>
                <w:spacing w:val="-6"/>
                <w:kern w:val="0"/>
                <w:sz w:val="24"/>
                <w:szCs w:val="24"/>
                <w:lang w:val="en-US" w:eastAsia="zh-CN" w:bidi="ar"/>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（三）不予公开</w:t>
            </w: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1.属于国家秘密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2.其他法律行政法规禁止公开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3.危及“三安全一稳定”</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4.保护第三方合法权益</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5.属于三类内部事务信息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6.属于四类过程性信息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7.属于行政执法案卷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8.属于行政查询事项</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（四）无法提供</w:t>
            </w: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1.本机关不掌握相关政府信息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2.没有现成信息需要另行制作</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3.补正后申请内容仍不明确</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（五）不予处理</w:t>
            </w: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1.信访举报投诉类申请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2.重复申请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3.要求提供公开出版物</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4.无正当理由大量反复申请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9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5.要求行政机关确认或重新出具已获取信息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6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（六）其他处理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default" w:ascii="仿宋" w:hAnsi="仿宋" w:eastAsia="仿宋" w:cs="仿宋"/>
                <w:spacing w:val="-6"/>
                <w:kern w:val="0"/>
                <w:sz w:val="24"/>
                <w:szCs w:val="24"/>
                <w:lang w:val="en-US" w:eastAsia="zh-CN" w:bidi="ar"/>
              </w:rPr>
            </w:pPr>
            <w:r>
              <w:rPr>
                <w:rFonts w:hint="eastAsia" w:ascii="仿宋" w:hAnsi="仿宋" w:cs="仿宋"/>
                <w:spacing w:val="-6"/>
                <w:kern w:val="0"/>
                <w:sz w:val="24"/>
                <w:szCs w:val="24"/>
                <w:lang w:val="en-US" w:eastAsia="zh-CN" w:bidi="ar"/>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6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36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（七）总计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default" w:ascii="仿宋" w:hAnsi="仿宋" w:eastAsia="仿宋" w:cs="仿宋"/>
                <w:spacing w:val="-6"/>
                <w:kern w:val="0"/>
                <w:sz w:val="24"/>
                <w:szCs w:val="24"/>
                <w:lang w:val="en-US" w:eastAsia="zh-CN" w:bidi="ar"/>
              </w:rPr>
            </w:pPr>
            <w:r>
              <w:rPr>
                <w:rFonts w:hint="eastAsia" w:ascii="仿宋" w:hAnsi="仿宋" w:cs="仿宋"/>
                <w:spacing w:val="-6"/>
                <w:kern w:val="0"/>
                <w:sz w:val="24"/>
                <w:szCs w:val="24"/>
                <w:lang w:val="en-US" w:eastAsia="zh-CN" w:bidi="ar"/>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spacing w:val="-6"/>
                <w:kern w:val="0"/>
                <w:sz w:val="24"/>
                <w:szCs w:val="24"/>
                <w:lang w:val="en-US" w:eastAsia="zh-CN" w:bidi="ar"/>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402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四、结转下年度继续办理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8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9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6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c>
          <w:tcPr>
            <w:tcW w:w="6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pacing w:val="-6"/>
                <w:kern w:val="0"/>
                <w:sz w:val="24"/>
                <w:szCs w:val="24"/>
                <w:lang w:val="en-US" w:eastAsia="zh-CN" w:bidi="ar"/>
              </w:rPr>
            </w:pPr>
            <w:r>
              <w:rPr>
                <w:rFonts w:hint="eastAsia" w:ascii="仿宋" w:hAnsi="仿宋" w:eastAsia="仿宋" w:cs="仿宋"/>
                <w:spacing w:val="-6"/>
                <w:kern w:val="0"/>
                <w:sz w:val="24"/>
                <w:szCs w:val="24"/>
                <w:lang w:val="en-US" w:eastAsia="zh-CN" w:bidi="ar"/>
              </w:rPr>
              <w:t>0</w:t>
            </w:r>
          </w:p>
        </w:tc>
      </w:tr>
    </w:tbl>
    <w:p>
      <w:pPr>
        <w:pStyle w:val="6"/>
        <w:keepNext w:val="0"/>
        <w:keepLines w:val="0"/>
        <w:widowControl/>
        <w:suppressLineNumbers w:val="0"/>
        <w:shd w:val="clear" w:fill="FFFFFF"/>
        <w:spacing w:before="0" w:beforeAutospacing="0" w:after="0" w:afterAutospacing="0" w:line="420" w:lineRule="atLeast"/>
        <w:ind w:left="0" w:right="0" w:firstLine="420"/>
        <w:jc w:val="both"/>
      </w:pPr>
      <w:r>
        <w:rPr>
          <w:rStyle w:val="10"/>
          <w:rFonts w:hint="eastAsia" w:ascii="宋体" w:hAnsi="宋体" w:eastAsia="宋体" w:cs="宋体"/>
          <w:sz w:val="24"/>
          <w:szCs w:val="24"/>
          <w:shd w:val="clear" w:fill="FFFFFF"/>
        </w:rPr>
        <w:t> </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黑体" w:hAnsi="宋体" w:eastAsia="黑体" w:cs="黑体"/>
          <w:sz w:val="31"/>
          <w:szCs w:val="31"/>
          <w:shd w:val="clear" w:fill="FFFFFF"/>
        </w:rPr>
        <w:t>四、政府信息公开行政复议、行政诉讼情况</w:t>
      </w:r>
    </w:p>
    <w:p>
      <w:pPr>
        <w:pStyle w:val="6"/>
        <w:keepNext w:val="0"/>
        <w:keepLines w:val="0"/>
        <w:widowControl/>
        <w:suppressLineNumbers w:val="0"/>
        <w:shd w:val="clear" w:fill="FFFFFF"/>
        <w:spacing w:before="0" w:beforeAutospacing="0" w:after="0" w:afterAutospacing="0" w:line="420" w:lineRule="atLeast"/>
        <w:ind w:left="0" w:right="0" w:firstLine="420"/>
        <w:jc w:val="both"/>
      </w:pPr>
      <w:r>
        <w:rPr>
          <w:rStyle w:val="10"/>
          <w:rFonts w:hint="eastAsia" w:ascii="宋体" w:hAnsi="宋体" w:eastAsia="宋体" w:cs="宋体"/>
          <w:sz w:val="24"/>
          <w:szCs w:val="24"/>
          <w:shd w:val="clear" w:fill="FFFFFF"/>
        </w:rPr>
        <w:t> </w:t>
      </w:r>
    </w:p>
    <w:tbl>
      <w:tblPr>
        <w:tblStyle w:val="8"/>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 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 w:hAnsi="仿宋" w:eastAsia="仿宋" w:cs="仿宋"/>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 w:hAnsi="仿宋" w:eastAsia="仿宋" w:cs="仿宋"/>
                <w:sz w:val="24"/>
                <w:szCs w:val="24"/>
              </w:rPr>
              <w:t>0</w:t>
            </w:r>
          </w:p>
        </w:tc>
      </w:tr>
    </w:tbl>
    <w:p>
      <w:pPr>
        <w:pStyle w:val="6"/>
        <w:keepNext w:val="0"/>
        <w:keepLines w:val="0"/>
        <w:widowControl/>
        <w:suppressLineNumbers w:val="0"/>
        <w:shd w:val="clear" w:fill="FFFFFF"/>
        <w:spacing w:before="0" w:beforeAutospacing="0" w:after="0" w:afterAutospacing="0" w:line="420" w:lineRule="atLeast"/>
        <w:ind w:left="0" w:right="0"/>
        <w:jc w:val="center"/>
        <w:rPr>
          <w:sz w:val="21"/>
          <w:szCs w:val="21"/>
        </w:rPr>
      </w:pPr>
      <w:r>
        <w:rPr>
          <w:rStyle w:val="10"/>
          <w:rFonts w:hint="eastAsia" w:ascii="宋体" w:hAnsi="宋体" w:eastAsia="宋体" w:cs="宋体"/>
          <w:sz w:val="24"/>
          <w:szCs w:val="24"/>
          <w:shd w:val="clear" w:fill="FFFFFF"/>
        </w:rPr>
        <w:t> </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黑体" w:hAnsi="宋体" w:eastAsia="黑体" w:cs="黑体"/>
          <w:sz w:val="31"/>
          <w:szCs w:val="31"/>
          <w:shd w:val="clear" w:fill="FFFFFF"/>
        </w:rPr>
        <w:t>五、存在的主要问题及改进情况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仿宋" w:hAnsi="仿宋" w:eastAsia="仿宋" w:cs="仿宋"/>
          <w:sz w:val="31"/>
          <w:szCs w:val="31"/>
          <w:shd w:val="clear" w:fill="FFFFFF"/>
        </w:rPr>
        <w:t>当前，我局政务服务工作还存在一定不足，主动公开政府信息工作与公众的需求尚存差距，主要体现在：一是对信息公开工作的重要性认识不足，主动公开意识不强；二是信息公开工作力量薄弱，人员及设备配置还不到位；三是信息公开质量需进一步提升，信息公开的时效性需进一步加强。</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仿宋" w:hAnsi="仿宋" w:eastAsia="仿宋" w:cs="仿宋"/>
          <w:sz w:val="31"/>
          <w:szCs w:val="31"/>
          <w:shd w:val="clear" w:fill="FFFFFF"/>
        </w:rPr>
        <w:t>针对以上问题，我们将在县委、县政府的正确领导有力指导下，按照《条例》和市、县对政府信息公开的相关要求，继续推进政府信息公开工作，进一步规范政府信息公开工作的制度建设，形成长效机制。完善充实政府信息公开的内容，加强对公众关注度高的政府信息梳理，及时全面进行公布。不断完善信息公开内容，及时更新政府信息，主动及时向社会公开可以公开的信息，以确保政府信息公开的完整性、全面性和及时性。</w:t>
      </w:r>
    </w:p>
    <w:p>
      <w:pPr>
        <w:pStyle w:val="6"/>
        <w:keepNext w:val="0"/>
        <w:keepLines w:val="0"/>
        <w:widowControl/>
        <w:suppressLineNumbers w:val="0"/>
        <w:spacing w:before="0" w:beforeAutospacing="0" w:after="0" w:afterAutospacing="0" w:line="420" w:lineRule="atLeast"/>
        <w:ind w:left="0" w:right="0" w:firstLine="645"/>
        <w:rPr>
          <w:sz w:val="21"/>
          <w:szCs w:val="21"/>
        </w:rPr>
      </w:pPr>
      <w:r>
        <w:rPr>
          <w:rFonts w:hint="eastAsia" w:ascii="黑体" w:hAnsi="宋体" w:eastAsia="黑体" w:cs="黑体"/>
          <w:sz w:val="31"/>
          <w:szCs w:val="31"/>
          <w:shd w:val="clear" w:fill="FFFFFF"/>
        </w:rPr>
        <w:t>六、其他需要报告的事项</w:t>
      </w:r>
    </w:p>
    <w:p>
      <w:pPr>
        <w:pStyle w:val="6"/>
        <w:keepNext w:val="0"/>
        <w:keepLines w:val="0"/>
        <w:widowControl/>
        <w:suppressLineNumbers w:val="0"/>
        <w:spacing w:before="0" w:beforeAutospacing="0" w:after="0" w:afterAutospacing="0" w:line="420" w:lineRule="atLeast"/>
        <w:ind w:left="0" w:right="0" w:firstLine="645"/>
        <w:jc w:val="left"/>
      </w:pPr>
      <w:r>
        <w:rPr>
          <w:rFonts w:hint="eastAsia" w:ascii="仿宋" w:hAnsi="仿宋" w:eastAsia="仿宋" w:cs="仿宋"/>
          <w:sz w:val="31"/>
          <w:szCs w:val="31"/>
          <w:shd w:val="clear" w:fill="FFFFFF"/>
          <w:lang w:val="en-US" w:eastAsia="zh-CN"/>
        </w:rPr>
        <w:t>2020年，县人大代表、政协委员对我局共提出建议</w:t>
      </w:r>
      <w:r>
        <w:rPr>
          <w:rFonts w:hint="eastAsia" w:ascii="仿宋" w:hAnsi="仿宋" w:cs="仿宋"/>
          <w:sz w:val="31"/>
          <w:szCs w:val="31"/>
          <w:shd w:val="clear" w:fill="FFFFFF"/>
          <w:lang w:val="en-US" w:eastAsia="zh-CN"/>
        </w:rPr>
        <w:t>3</w:t>
      </w:r>
      <w:r>
        <w:rPr>
          <w:rFonts w:hint="eastAsia" w:ascii="仿宋" w:hAnsi="仿宋" w:eastAsia="仿宋" w:cs="仿宋"/>
          <w:sz w:val="31"/>
          <w:szCs w:val="31"/>
          <w:shd w:val="clear" w:fill="FFFFFF"/>
          <w:lang w:val="en-US" w:eastAsia="zh-CN"/>
        </w:rPr>
        <w:t>件，办理结果均按时公开。</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F1DC3"/>
    <w:rsid w:val="01A32AB6"/>
    <w:rsid w:val="08DE7B62"/>
    <w:rsid w:val="0B8301D4"/>
    <w:rsid w:val="17492FE1"/>
    <w:rsid w:val="19321E3A"/>
    <w:rsid w:val="1DB7741B"/>
    <w:rsid w:val="218F1DC3"/>
    <w:rsid w:val="322F5867"/>
    <w:rsid w:val="37C71CB7"/>
    <w:rsid w:val="39764629"/>
    <w:rsid w:val="47AA45F5"/>
    <w:rsid w:val="4C885A8C"/>
    <w:rsid w:val="526065D1"/>
    <w:rsid w:val="569D3980"/>
    <w:rsid w:val="5B683AE7"/>
    <w:rsid w:val="5D9E535B"/>
    <w:rsid w:val="61740450"/>
    <w:rsid w:val="7E265754"/>
    <w:rsid w:val="7EE0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 w:cs="Times New Roman"/>
      <w:spacing w:val="-6"/>
      <w:kern w:val="2"/>
      <w:sz w:val="32"/>
      <w:szCs w:val="22"/>
      <w:lang w:val="en-US" w:eastAsia="zh-CN" w:bidi="ar-SA"/>
    </w:rPr>
  </w:style>
  <w:style w:type="paragraph" w:styleId="2">
    <w:name w:val="heading 3"/>
    <w:basedOn w:val="1"/>
    <w:next w:val="1"/>
    <w:link w:val="11"/>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楷体" w:cs="Times New Roman"/>
      <w:b/>
      <w:sz w:val="32"/>
      <w:szCs w:val="21"/>
    </w:rPr>
  </w:style>
  <w:style w:type="paragraph" w:styleId="3">
    <w:name w:val="heading 4"/>
    <w:basedOn w:val="1"/>
    <w:next w:val="1"/>
    <w:link w:val="12"/>
    <w:semiHidden/>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32"/>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index 9"/>
    <w:basedOn w:val="1"/>
    <w:next w:val="1"/>
    <w:qFormat/>
    <w:uiPriority w:val="0"/>
    <w:pPr>
      <w:ind w:left="0" w:leftChars="0"/>
      <w:jc w:val="left"/>
    </w:pPr>
    <w:rPr>
      <w:rFonts w:ascii="Times New Roman" w:hAnsi="Times New Roman" w:eastAsia="仿宋"/>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firstLineChars="200"/>
    </w:pPr>
  </w:style>
  <w:style w:type="character" w:styleId="10">
    <w:name w:val="Strong"/>
    <w:basedOn w:val="9"/>
    <w:qFormat/>
    <w:uiPriority w:val="0"/>
    <w:rPr>
      <w:b/>
    </w:rPr>
  </w:style>
  <w:style w:type="character" w:customStyle="1" w:styleId="11">
    <w:name w:val="标题 3 Char"/>
    <w:link w:val="2"/>
    <w:qFormat/>
    <w:uiPriority w:val="0"/>
    <w:rPr>
      <w:rFonts w:ascii="Times New Roman" w:hAnsi="Times New Roman" w:eastAsia="楷体" w:cs="Times New Roman"/>
      <w:b/>
      <w:sz w:val="32"/>
      <w:szCs w:val="21"/>
    </w:rPr>
  </w:style>
  <w:style w:type="character" w:customStyle="1" w:styleId="12">
    <w:name w:val="标题 4 Char"/>
    <w:link w:val="3"/>
    <w:qFormat/>
    <w:uiPriority w:val="0"/>
    <w:rPr>
      <w:rFonts w:ascii="Arial" w:hAnsi="Arial" w:eastAsia="仿宋" w:cs="Times New Roman"/>
      <w:b/>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2021-06-08T08:48:00Z</dcterms:created>
  <dc:creator>醉牛牛</dc:creator>
  <cp:lastModifiedBy>醉牛牛</cp:lastModifiedBy>
  <dcterms:modified xsi:type="dcterms:W3CDTF">2021-10-19T06:43:59Z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66993574E7DD47FBBDA22D7BE7DD74FE</vt:lpwstr>
  </property>
</Properties>
</file>