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287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执法主体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Merge w:val="restart"/>
            <w:noWrap w:val="0"/>
            <w:vAlign w:val="top"/>
          </w:tcPr>
          <w:p>
            <w:pPr>
              <w:bidi w:val="0"/>
              <w:rPr>
                <w:rFonts w:hint="eastAsia" w:cs="Times New Roman"/>
                <w:kern w:val="2"/>
                <w:sz w:val="72"/>
                <w:szCs w:val="14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72"/>
                <w:szCs w:val="144"/>
                <w:lang w:val="en-US" w:eastAsia="zh-CN" w:bidi="ar-SA"/>
              </w:rPr>
              <w:t xml:space="preserve"> </w:t>
            </w:r>
          </w:p>
          <w:p>
            <w:pPr>
              <w:bidi w:val="0"/>
              <w:rPr>
                <w:rFonts w:hint="eastAsia" w:cs="Times New Roman"/>
                <w:kern w:val="2"/>
                <w:sz w:val="72"/>
                <w:szCs w:val="144"/>
                <w:lang w:val="en-US" w:eastAsia="zh-CN" w:bidi="ar-SA"/>
              </w:rPr>
            </w:pPr>
          </w:p>
          <w:p>
            <w:pPr>
              <w:bidi w:val="0"/>
              <w:rPr>
                <w:rFonts w:hint="default" w:cs="Times New Roman"/>
                <w:kern w:val="2"/>
                <w:sz w:val="72"/>
                <w:szCs w:val="14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sz w:val="72"/>
                <w:szCs w:val="1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72"/>
                <w:szCs w:val="72"/>
                <w:lang w:val="en-US" w:eastAsia="zh-CN"/>
              </w:rPr>
              <w:t>县财政局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注册会计师事务所行业的行政检查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1.对注册会计师的任职资格和执业情况进行检查 2.对注册会计师事务所的执业质量、会计信息质量进行检查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1" w:hanging="241" w:hangingChars="1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资产评估行业行政检查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1.对资产评估机构是否持续符合有关规定、备案情况、执业质量、会计信息质量进行检查； 2.对资产评估人员的行政检查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2" w:hanging="482" w:hanging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会计信息质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量</w:t>
            </w: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对国家机关、社会团体、公司、与企业、事业单位和其他组织会计信息质量的行政检查。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失业保险基金检查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对失业保险基金收支、管理情况进行监督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2" w:hanging="482" w:hanging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政府采购监督检查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1.负责处理省级政府采购活动投诉、举报等。 2.负责对省级集中采购机构进行考核。 3.负责对政府采购代理机构实施监督检查。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财政票据检查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1、对全省财政票据申领、使用、管理等情况监督检查工作 2、对全省财政票据监（印）制工作监督检查工作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GY1ZjdjNTBmZjU1Njc0NTQ2MjMwMDQ4YjllNmYifQ=="/>
  </w:docVars>
  <w:rsids>
    <w:rsidRoot w:val="3D1E1637"/>
    <w:rsid w:val="3D1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2023-01-18T08:21:00Z</dcterms:created>
  <dc:creator>sweet potato</dc:creator>
  <cp:lastModifiedBy>sweet potato</cp:lastModifiedBy>
  <dcterms:modified xsi:type="dcterms:W3CDTF">2023-01-18T08:22:28Z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9148988F9A7D496B8719D74C54B0A855</vt:lpwstr>
  </property>
</Properties>
</file>