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90" w:lineRule="exact"/>
        <w:ind w:right="-105" w:rightChars="-50"/>
        <w:jc w:val="cente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pPr>
    </w:p>
    <w:p>
      <w:pPr>
        <w:shd w:val="clear"/>
        <w:spacing w:line="590" w:lineRule="exact"/>
        <w:ind w:right="-105" w:rightChars="-50"/>
        <w:jc w:val="center"/>
        <w:rPr>
          <w:rFonts w:hint="eastAsia" w:ascii="黑体" w:hAnsi="黑体" w:eastAsia="黑体" w:cs="黑体"/>
          <w:b/>
          <w:bCs w:val="0"/>
          <w:color w:val="000000" w:themeColor="text1"/>
          <w:kern w:val="0"/>
          <w:sz w:val="56"/>
          <w:szCs w:val="56"/>
          <w14:textFill>
            <w14:solidFill>
              <w14:schemeClr w14:val="tx1"/>
            </w14:solidFill>
          </w14:textFill>
        </w:rPr>
      </w:pPr>
      <w:r>
        <w:rPr>
          <w:rFonts w:hint="eastAsia" w:ascii="黑体" w:hAnsi="黑体" w:eastAsia="黑体" w:cs="黑体"/>
          <w:b/>
          <w:bCs w:val="0"/>
          <w:color w:val="000000" w:themeColor="text1"/>
          <w:kern w:val="0"/>
          <w:sz w:val="56"/>
          <w:szCs w:val="56"/>
          <w14:textFill>
            <w14:solidFill>
              <w14:schemeClr w14:val="tx1"/>
            </w14:solidFill>
          </w14:textFill>
        </w:rPr>
        <w:t>西平镇202</w:t>
      </w:r>
      <w:r>
        <w:rPr>
          <w:rFonts w:hint="eastAsia" w:ascii="黑体" w:hAnsi="黑体" w:eastAsia="黑体" w:cs="黑体"/>
          <w:b/>
          <w:bCs w:val="0"/>
          <w:color w:val="000000" w:themeColor="text1"/>
          <w:kern w:val="0"/>
          <w:sz w:val="56"/>
          <w:szCs w:val="56"/>
          <w:lang w:val="en-US" w:eastAsia="zh-CN"/>
          <w14:textFill>
            <w14:solidFill>
              <w14:schemeClr w14:val="tx1"/>
            </w14:solidFill>
          </w14:textFill>
        </w:rPr>
        <w:t>2</w:t>
      </w:r>
      <w:r>
        <w:rPr>
          <w:rFonts w:hint="eastAsia" w:ascii="黑体" w:hAnsi="黑体" w:eastAsia="黑体" w:cs="黑体"/>
          <w:b/>
          <w:bCs w:val="0"/>
          <w:color w:val="000000" w:themeColor="text1"/>
          <w:kern w:val="0"/>
          <w:sz w:val="56"/>
          <w:szCs w:val="56"/>
          <w14:textFill>
            <w14:solidFill>
              <w14:schemeClr w14:val="tx1"/>
            </w14:solidFill>
          </w14:textFill>
        </w:rPr>
        <w:t>年政府信息公开年度报告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lang w:val="en-US" w:eastAsia="zh-CN"/>
        </w:rPr>
        <w:t>本报告由西平镇人民政府按照《中华人民共和国政府信息公开条例》（以下简称《条例》）和《中华人民共和国政府信息公开工作年度报告格式》（国办公开办函〔2021〕30号）要求编制。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lang w:val="en-US" w:eastAsia="zh-CN"/>
        </w:rPr>
        <w:t>本报告所列数据的统计期限自2022年1月1日起至2022年12月31日止。本报告电子版可在“中国·微山”政府门户网站（具体网址：http://www.weishan.gov.cn/）查阅或下载。如对本报告有疑问，请与西平镇人民政府联系（地址：微山县西平镇县乡公路111号，联系电话：0537-8341001）。</w:t>
      </w:r>
    </w:p>
    <w:p>
      <w:pPr>
        <w:keepNext w:val="0"/>
        <w:keepLines w:val="0"/>
        <w:pageBreakBefore w:val="0"/>
        <w:numPr>
          <w:ilvl w:val="0"/>
          <w:numId w:val="1"/>
        </w:numPr>
        <w:shd w:val="clear"/>
        <w:kinsoku/>
        <w:wordWrap/>
        <w:overflowPunct/>
        <w:topLinePunct w:val="0"/>
        <w:autoSpaceDE/>
        <w:autoSpaceDN/>
        <w:bidi w:val="0"/>
        <w:adjustRightInd/>
        <w:snapToGrid/>
        <w:ind w:firstLine="640" w:firstLineChars="200"/>
        <w:textAlignment w:val="auto"/>
        <w:rPr>
          <w:rFonts w:ascii="黑体" w:hAnsi="宋体" w:eastAsia="黑体" w:cs="黑体"/>
          <w:i w:val="0"/>
          <w:caps w:val="0"/>
          <w:color w:val="333333"/>
          <w:spacing w:val="0"/>
          <w:sz w:val="32"/>
          <w:szCs w:val="32"/>
        </w:rPr>
      </w:pPr>
      <w:r>
        <w:rPr>
          <w:rFonts w:ascii="黑体" w:hAnsi="宋体" w:eastAsia="黑体" w:cs="黑体"/>
          <w:i w:val="0"/>
          <w:caps w:val="0"/>
          <w:color w:val="333333"/>
          <w:spacing w:val="0"/>
          <w:sz w:val="32"/>
          <w:szCs w:val="32"/>
        </w:rPr>
        <w:t>总体情况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default" w:ascii="仿宋_GB2312" w:hAnsi="微软雅黑" w:eastAsia="仿宋_GB2312" w:cs="仿宋_GB2312"/>
          <w:i w:val="0"/>
          <w:caps w:val="0"/>
          <w:color w:val="000000"/>
          <w:spacing w:val="0"/>
          <w:sz w:val="32"/>
          <w:szCs w:val="32"/>
          <w:shd w:val="clear" w:fill="FFFFFF"/>
        </w:rPr>
      </w:pPr>
      <w:r>
        <w:rPr>
          <w:rFonts w:hint="default" w:ascii="仿宋_GB2312" w:hAnsi="微软雅黑" w:eastAsia="仿宋_GB2312" w:cs="仿宋_GB2312"/>
          <w:i w:val="0"/>
          <w:caps w:val="0"/>
          <w:color w:val="000000"/>
          <w:spacing w:val="0"/>
          <w:sz w:val="32"/>
          <w:szCs w:val="32"/>
          <w:shd w:val="clear" w:fill="FFFFFF"/>
        </w:rPr>
        <w:t>202</w:t>
      </w:r>
      <w:r>
        <w:rPr>
          <w:rFonts w:hint="eastAsia" w:ascii="仿宋_GB2312" w:hAnsi="微软雅黑" w:eastAsia="仿宋_GB2312" w:cs="仿宋_GB2312"/>
          <w:i w:val="0"/>
          <w:caps w:val="0"/>
          <w:color w:val="000000"/>
          <w:spacing w:val="0"/>
          <w:sz w:val="32"/>
          <w:szCs w:val="32"/>
          <w:shd w:val="clear" w:fill="FFFFFF"/>
          <w:lang w:val="en-US" w:eastAsia="zh-CN"/>
        </w:rPr>
        <w:t>2</w:t>
      </w:r>
      <w:r>
        <w:rPr>
          <w:rFonts w:hint="default" w:ascii="仿宋_GB2312" w:hAnsi="微软雅黑" w:eastAsia="仿宋_GB2312" w:cs="仿宋_GB2312"/>
          <w:i w:val="0"/>
          <w:caps w:val="0"/>
          <w:color w:val="000000"/>
          <w:spacing w:val="0"/>
          <w:sz w:val="32"/>
          <w:szCs w:val="32"/>
          <w:shd w:val="clear" w:fill="FFFFFF"/>
        </w:rPr>
        <w:t>年我镇认真贯彻落实上级文件要求，严格按照政府信息公开的工作要求，认真研究部署</w:t>
      </w:r>
      <w:r>
        <w:rPr>
          <w:rFonts w:hint="eastAsia" w:ascii="仿宋_GB2312" w:hAnsi="微软雅黑" w:eastAsia="仿宋_GB2312" w:cs="仿宋_GB2312"/>
          <w:i w:val="0"/>
          <w:caps w:val="0"/>
          <w:color w:val="000000"/>
          <w:spacing w:val="0"/>
          <w:sz w:val="32"/>
          <w:szCs w:val="32"/>
          <w:shd w:val="clear" w:fill="FFFFFF"/>
          <w:lang w:eastAsia="zh-CN"/>
        </w:rPr>
        <w:t>西平</w:t>
      </w:r>
      <w:r>
        <w:rPr>
          <w:rFonts w:hint="default" w:ascii="仿宋_GB2312" w:hAnsi="微软雅黑" w:eastAsia="仿宋_GB2312" w:cs="仿宋_GB2312"/>
          <w:i w:val="0"/>
          <w:caps w:val="0"/>
          <w:color w:val="000000"/>
          <w:spacing w:val="0"/>
          <w:sz w:val="32"/>
          <w:szCs w:val="32"/>
          <w:shd w:val="clear" w:fill="FFFFFF"/>
        </w:rPr>
        <w:t>镇信息公开工作的开展，健全信息公开工作机制，进一步规范信息公开程序，及时、准确地向社会公开政府信息。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楷体_GB2312" w:hAnsi="楷体_GB2312" w:eastAsia="楷体_GB2312" w:cs="楷体_GB2312"/>
          <w:i w:val="0"/>
          <w:caps w:val="0"/>
          <w:color w:val="000000"/>
          <w:spacing w:val="0"/>
          <w:sz w:val="32"/>
          <w:szCs w:val="32"/>
          <w:shd w:val="clear" w:fill="FFFFFF"/>
        </w:rPr>
      </w:pPr>
      <w:r>
        <w:rPr>
          <w:rFonts w:hint="eastAsia" w:ascii="楷体_GB2312" w:hAnsi="楷体_GB2312" w:eastAsia="楷体_GB2312" w:cs="楷体_GB2312"/>
          <w:i w:val="0"/>
          <w:caps w:val="0"/>
          <w:color w:val="000000"/>
          <w:spacing w:val="0"/>
          <w:sz w:val="32"/>
          <w:szCs w:val="32"/>
          <w:shd w:val="clear" w:fill="FFFFFF"/>
        </w:rPr>
        <w:t>（</w:t>
      </w:r>
      <w:r>
        <w:rPr>
          <w:rFonts w:hint="eastAsia" w:ascii="楷体_GB2312" w:hAnsi="楷体_GB2312" w:eastAsia="楷体_GB2312" w:cs="楷体_GB2312"/>
          <w:i w:val="0"/>
          <w:caps w:val="0"/>
          <w:color w:val="000000"/>
          <w:spacing w:val="0"/>
          <w:sz w:val="32"/>
          <w:szCs w:val="32"/>
          <w:shd w:val="clear" w:fill="FFFFFF"/>
          <w:lang w:eastAsia="zh-CN"/>
        </w:rPr>
        <w:t>一</w:t>
      </w:r>
      <w:r>
        <w:rPr>
          <w:rFonts w:hint="eastAsia" w:ascii="楷体_GB2312" w:hAnsi="楷体_GB2312" w:eastAsia="楷体_GB2312" w:cs="楷体_GB2312"/>
          <w:i w:val="0"/>
          <w:caps w:val="0"/>
          <w:color w:val="000000"/>
          <w:spacing w:val="0"/>
          <w:sz w:val="32"/>
          <w:szCs w:val="32"/>
          <w:shd w:val="clear" w:fill="FFFFFF"/>
        </w:rPr>
        <w:t>）主动公开情况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lang w:val="en-US" w:eastAsia="zh-CN"/>
        </w:rPr>
        <w:t>2022年1月1日至2022年12月31日，微山县西平镇政府网站主动公开政府信息数20条、图文新闻20条，政务微信公开政府信息数37条。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default" w:ascii="仿宋_GB2312" w:hAnsi="微软雅黑" w:eastAsia="仿宋_GB2312" w:cs="仿宋_GB2312"/>
          <w:i w:val="0"/>
          <w:caps w:val="0"/>
          <w:color w:val="000000"/>
          <w:spacing w:val="0"/>
          <w:sz w:val="32"/>
          <w:szCs w:val="32"/>
          <w:shd w:val="clear" w:fill="FFFFFF"/>
          <w:lang w:val="en-US" w:eastAsia="zh-CN"/>
        </w:rPr>
      </w:pPr>
      <w:r>
        <w:rPr>
          <w:rFonts w:hint="default" w:ascii="仿宋_GB2312" w:hAnsi="微软雅黑" w:eastAsia="仿宋_GB2312" w:cs="仿宋_GB2312"/>
          <w:i w:val="0"/>
          <w:caps w:val="0"/>
          <w:color w:val="000000"/>
          <w:spacing w:val="0"/>
          <w:sz w:val="32"/>
          <w:szCs w:val="32"/>
          <w:shd w:val="clear" w:fill="FFFFFF"/>
          <w:lang w:val="en-US" w:eastAsia="zh-CN"/>
        </w:rPr>
        <w:drawing>
          <wp:inline distT="0" distB="0" distL="114300" distR="114300">
            <wp:extent cx="4379595" cy="2321560"/>
            <wp:effectExtent l="4445" t="5080" r="16510" b="165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楷体_GB2312" w:hAnsi="楷体_GB2312" w:eastAsia="楷体_GB2312" w:cs="楷体_GB2312"/>
          <w:i w:val="0"/>
          <w:caps w:val="0"/>
          <w:color w:val="000000"/>
          <w:spacing w:val="0"/>
          <w:sz w:val="32"/>
          <w:szCs w:val="32"/>
          <w:shd w:val="clear" w:fill="FFFFFF"/>
        </w:rPr>
      </w:pPr>
      <w:r>
        <w:rPr>
          <w:rFonts w:hint="eastAsia" w:ascii="楷体_GB2312" w:hAnsi="楷体_GB2312" w:eastAsia="楷体_GB2312" w:cs="楷体_GB2312"/>
          <w:i w:val="0"/>
          <w:caps w:val="0"/>
          <w:color w:val="000000"/>
          <w:spacing w:val="0"/>
          <w:sz w:val="32"/>
          <w:szCs w:val="32"/>
          <w:shd w:val="clear" w:fill="FFFFFF"/>
        </w:rPr>
        <w:t>（二）依申请公开情况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rPr>
        <w:t>202</w:t>
      </w:r>
      <w:r>
        <w:rPr>
          <w:rFonts w:hint="eastAsia" w:ascii="仿宋_GB2312" w:hAnsi="微软雅黑" w:eastAsia="仿宋_GB2312" w:cs="仿宋_GB2312"/>
          <w:i w:val="0"/>
          <w:caps w:val="0"/>
          <w:color w:val="000000"/>
          <w:spacing w:val="0"/>
          <w:sz w:val="32"/>
          <w:szCs w:val="32"/>
          <w:shd w:val="clear" w:fill="FFFFFF"/>
          <w:lang w:val="en-US" w:eastAsia="zh-CN"/>
        </w:rPr>
        <w:t>2</w:t>
      </w:r>
      <w:r>
        <w:rPr>
          <w:rFonts w:hint="eastAsia" w:ascii="仿宋_GB2312" w:hAnsi="微软雅黑" w:eastAsia="仿宋_GB2312" w:cs="仿宋_GB2312"/>
          <w:i w:val="0"/>
          <w:caps w:val="0"/>
          <w:color w:val="000000"/>
          <w:spacing w:val="0"/>
          <w:sz w:val="32"/>
          <w:szCs w:val="32"/>
          <w:shd w:val="clear" w:fill="FFFFFF"/>
        </w:rPr>
        <w:t>以来，我镇</w:t>
      </w:r>
      <w:r>
        <w:rPr>
          <w:rFonts w:hint="eastAsia" w:ascii="仿宋_GB2312" w:hAnsi="微软雅黑" w:eastAsia="仿宋_GB2312" w:cs="仿宋_GB2312"/>
          <w:i w:val="0"/>
          <w:caps w:val="0"/>
          <w:color w:val="000000"/>
          <w:spacing w:val="0"/>
          <w:sz w:val="32"/>
          <w:szCs w:val="32"/>
          <w:shd w:val="clear" w:fill="FFFFFF"/>
          <w:lang w:eastAsia="zh-CN"/>
        </w:rPr>
        <w:t>无依申请公开情况。西平镇</w:t>
      </w:r>
      <w:r>
        <w:rPr>
          <w:rFonts w:hint="eastAsia" w:ascii="仿宋_GB2312" w:hAnsi="微软雅黑" w:eastAsia="仿宋_GB2312" w:cs="仿宋_GB2312"/>
          <w:i w:val="0"/>
          <w:caps w:val="0"/>
          <w:color w:val="000000"/>
          <w:spacing w:val="0"/>
          <w:sz w:val="32"/>
          <w:szCs w:val="32"/>
          <w:shd w:val="clear" w:fill="FFFFFF"/>
        </w:rPr>
        <w:t>高度重视依申请公开工作，不断完善制度机制，坚持依法规范办理，狠抓依申请办理质量，切实保障公众知情权，积极化解社会矛盾</w:t>
      </w:r>
      <w:r>
        <w:rPr>
          <w:rFonts w:hint="eastAsia" w:ascii="仿宋_GB2312" w:hAnsi="微软雅黑" w:eastAsia="仿宋_GB2312" w:cs="仿宋_GB2312"/>
          <w:i w:val="0"/>
          <w:caps w:val="0"/>
          <w:color w:val="000000"/>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ascii="微软雅黑" w:hAnsi="微软雅黑" w:eastAsia="微软雅黑" w:cs="微软雅黑"/>
          <w:i w:val="0"/>
          <w:iCs w:val="0"/>
          <w:caps w:val="0"/>
          <w:color w:val="333333"/>
          <w:spacing w:val="0"/>
          <w:sz w:val="24"/>
          <w:szCs w:val="24"/>
        </w:rPr>
      </w:pPr>
      <w:r>
        <w:rPr>
          <w:rFonts w:ascii="楷体_GB2312" w:hAnsi="微软雅黑" w:eastAsia="楷体_GB2312" w:cs="楷体_GB2312"/>
          <w:i w:val="0"/>
          <w:iCs w:val="0"/>
          <w:caps w:val="0"/>
          <w:color w:val="333333"/>
          <w:spacing w:val="0"/>
          <w:sz w:val="31"/>
          <w:szCs w:val="31"/>
          <w:shd w:val="clear" w:fill="FFFFFF"/>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sz w:val="31"/>
          <w:szCs w:val="31"/>
          <w:shd w:val="clear" w:fill="FFFFFF"/>
        </w:rPr>
        <w:t>一是继续贯彻学习《条例》及上级有关政务公开工作的文件精神，采取集中和个人自学等方式，使我镇干部职工充分了解和掌握政务公开工作的实质内涵，使政务公开工作深入人心，人人知晓。二是积极组织工作人员参加政务公开学习培训，进一步提高了信息发布人员的业务能力和水平，确保了我镇政务信息能及时有效地上传政务公开系统，使广大群众能及时了解我镇政务信息。加强与县政务公开办公室沟通联系，及时解除技术、规范等方面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sz w:val="31"/>
          <w:szCs w:val="31"/>
          <w:shd w:val="clear" w:fill="FFFFFF"/>
        </w:rPr>
        <w:t>（四）政府信息公开平台建设情况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一是及时更新政务网站。2022年对政务网站进行多次更新维护。二是完善微信平台运营。利用“美丽西平公众号”微信公众平台，发布工作亮点、政策文件、工作动态等，不断丰富推送内容及形式。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楷体_GB2312" w:hAnsi="楷体_GB2312" w:eastAsia="楷体_GB2312" w:cs="楷体_GB2312"/>
          <w:i w:val="0"/>
          <w:caps w:val="0"/>
          <w:color w:val="000000"/>
          <w:spacing w:val="0"/>
          <w:sz w:val="32"/>
          <w:szCs w:val="32"/>
          <w:shd w:val="clear" w:fill="FFFFFF"/>
          <w:lang w:val="en-US" w:eastAsia="zh-CN"/>
        </w:rPr>
      </w:pPr>
      <w:r>
        <w:rPr>
          <w:rFonts w:hint="eastAsia" w:ascii="楷体_GB2312" w:hAnsi="楷体_GB2312" w:eastAsia="楷体_GB2312" w:cs="楷体_GB2312"/>
          <w:i w:val="0"/>
          <w:caps w:val="0"/>
          <w:color w:val="000000"/>
          <w:spacing w:val="0"/>
          <w:sz w:val="32"/>
          <w:szCs w:val="32"/>
          <w:shd w:val="clear" w:fill="FFFFFF"/>
          <w:lang w:val="en-US" w:eastAsia="zh-CN"/>
        </w:rPr>
        <w:t>（五）监督保障情况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default"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lang w:val="en-US" w:eastAsia="zh-CN"/>
        </w:rPr>
        <w:t>西平镇严格全镇</w:t>
      </w:r>
      <w:r>
        <w:rPr>
          <w:rFonts w:hint="default" w:ascii="仿宋_GB2312" w:hAnsi="微软雅黑" w:eastAsia="仿宋_GB2312" w:cs="仿宋_GB2312"/>
          <w:i w:val="0"/>
          <w:caps w:val="0"/>
          <w:color w:val="000000"/>
          <w:spacing w:val="0"/>
          <w:sz w:val="32"/>
          <w:szCs w:val="32"/>
          <w:shd w:val="clear" w:fill="FFFFFF"/>
          <w:lang w:val="en-US" w:eastAsia="zh-CN"/>
        </w:rPr>
        <w:t>202</w:t>
      </w:r>
      <w:r>
        <w:rPr>
          <w:rFonts w:hint="eastAsia" w:ascii="仿宋_GB2312" w:hAnsi="微软雅黑" w:eastAsia="仿宋_GB2312" w:cs="仿宋_GB2312"/>
          <w:i w:val="0"/>
          <w:caps w:val="0"/>
          <w:color w:val="000000"/>
          <w:spacing w:val="0"/>
          <w:sz w:val="32"/>
          <w:szCs w:val="32"/>
          <w:shd w:val="clear" w:fill="FFFFFF"/>
          <w:lang w:val="en-US" w:eastAsia="zh-CN"/>
        </w:rPr>
        <w:t>2</w:t>
      </w:r>
      <w:r>
        <w:rPr>
          <w:rFonts w:hint="default" w:ascii="仿宋_GB2312" w:hAnsi="微软雅黑" w:eastAsia="仿宋_GB2312" w:cs="仿宋_GB2312"/>
          <w:i w:val="0"/>
          <w:caps w:val="0"/>
          <w:color w:val="000000"/>
          <w:spacing w:val="0"/>
          <w:sz w:val="32"/>
          <w:szCs w:val="32"/>
          <w:shd w:val="clear" w:fill="FFFFFF"/>
          <w:lang w:val="en-US" w:eastAsia="zh-CN"/>
        </w:rPr>
        <w:t>年度政府信息公开工作考核，用制度规范行为、按制度办事、靠制度管人，加强了对行政权力的民主监督，方便了群众办事，有力地促进了我镇各项业务工作的有序开展。</w:t>
      </w:r>
    </w:p>
    <w:p>
      <w:pPr>
        <w:keepNext w:val="0"/>
        <w:keepLines w:val="0"/>
        <w:pageBreakBefore w:val="0"/>
        <w:shd w:val="clear"/>
        <w:kinsoku/>
        <w:wordWrap/>
        <w:overflowPunct/>
        <w:topLinePunct w:val="0"/>
        <w:autoSpaceDE/>
        <w:autoSpaceDN/>
        <w:bidi w:val="0"/>
        <w:adjustRightInd/>
        <w:snapToGrid/>
        <w:spacing w:line="590" w:lineRule="exact"/>
        <w:ind w:right="-105" w:rightChars="-5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二、主动公开政府信息情况</w:t>
      </w:r>
    </w:p>
    <w:tbl>
      <w:tblPr>
        <w:tblStyle w:val="4"/>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hint="default" w:ascii="方正仿宋简体" w:eastAsia="方正仿宋简体"/>
                <w:b/>
                <w:sz w:val="24"/>
                <w:szCs w:val="24"/>
                <w:lang w:val="en-US"/>
              </w:rPr>
            </w:pPr>
            <w:r>
              <w:rPr>
                <w:rFonts w:hint="eastAsia" w:ascii="方正仿宋简体" w:hAnsi="宋体" w:eastAsia="方正仿宋简体" w:cs="宋体"/>
                <w:b/>
                <w:sz w:val="24"/>
                <w:szCs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auto"/>
            <w:tcMar>
              <w:left w:w="57" w:type="dxa"/>
              <w:right w:w="57" w:type="dxa"/>
            </w:tcMar>
            <w:vAlign w:val="center"/>
          </w:tcPr>
          <w:p>
            <w:pPr>
              <w:keepNext w:val="0"/>
              <w:keepLines w:val="0"/>
              <w:pageBreakBefore w:val="0"/>
              <w:shd w:val="clear"/>
              <w:kinsoku/>
              <w:wordWrap/>
              <w:overflowPunct/>
              <w:topLinePunct w:val="0"/>
              <w:autoSpaceDE/>
              <w:autoSpaceDN/>
              <w:bidi w:val="0"/>
              <w:adjustRightInd/>
              <w:snapToGrid/>
              <w:spacing w:line="340" w:lineRule="exact"/>
              <w:ind w:firstLine="482" w:firstLineChars="200"/>
              <w:jc w:val="center"/>
              <w:textAlignment w:val="auto"/>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keepNext w:val="0"/>
        <w:keepLines w:val="0"/>
        <w:pageBreakBefore w:val="0"/>
        <w:shd w:val="clear"/>
        <w:kinsoku/>
        <w:wordWrap/>
        <w:overflowPunct/>
        <w:topLinePunct w:val="0"/>
        <w:autoSpaceDE/>
        <w:autoSpaceDN/>
        <w:bidi w:val="0"/>
        <w:adjustRightInd/>
        <w:snapToGrid/>
        <w:spacing w:before="62" w:beforeLines="10" w:after="62" w:afterLines="10" w:line="600" w:lineRule="exact"/>
        <w:ind w:left="420" w:leftChars="0" w:firstLine="420" w:firstLineChars="0"/>
        <w:textAlignment w:val="auto"/>
        <w:rPr>
          <w:rFonts w:ascii="方正黑体简体" w:eastAsia="方正黑体简体"/>
          <w:b/>
          <w:sz w:val="32"/>
          <w:szCs w:val="32"/>
        </w:rPr>
      </w:pPr>
      <w:r>
        <w:rPr>
          <w:rFonts w:hint="eastAsia" w:ascii="黑体" w:hAnsi="黑体" w:eastAsia="黑体" w:cs="黑体"/>
          <w:b/>
          <w:sz w:val="32"/>
          <w:szCs w:val="32"/>
        </w:rPr>
        <w:t>三、收到和处理政府信息公开申请情况</w:t>
      </w:r>
    </w:p>
    <w:tbl>
      <w:tblPr>
        <w:tblStyle w:val="4"/>
        <w:tblW w:w="9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3"/>
        <w:gridCol w:w="1878"/>
        <w:gridCol w:w="2238"/>
        <w:gridCol w:w="622"/>
        <w:gridCol w:w="643"/>
        <w:gridCol w:w="657"/>
        <w:gridCol w:w="1052"/>
        <w:gridCol w:w="897"/>
        <w:gridCol w:w="434"/>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 w:hRule="atLeast"/>
          <w:jc w:val="center"/>
        </w:trPr>
        <w:tc>
          <w:tcPr>
            <w:tcW w:w="4939" w:type="dxa"/>
            <w:gridSpan w:val="3"/>
            <w:vMerge w:val="restart"/>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（本列数据的勾稽关系为：第一项加第二项之和，</w:t>
            </w:r>
          </w:p>
          <w:p>
            <w:pPr>
              <w:widowControl/>
              <w:shd w:val="clear"/>
              <w:spacing w:line="260" w:lineRule="exact"/>
              <w:jc w:val="center"/>
              <w:rPr>
                <w:rFonts w:ascii="方正黑体简体" w:eastAsia="方正黑体简体"/>
                <w:b/>
                <w:sz w:val="21"/>
                <w:szCs w:val="21"/>
              </w:rPr>
            </w:pPr>
            <w:r>
              <w:rPr>
                <w:rFonts w:hint="eastAsia" w:ascii="方正黑体简体" w:hAnsi="黑体" w:eastAsia="方正黑体简体"/>
                <w:b/>
                <w:sz w:val="21"/>
                <w:szCs w:val="21"/>
              </w:rPr>
              <w:t>等于第三项加第四项之和）</w:t>
            </w:r>
          </w:p>
        </w:tc>
        <w:tc>
          <w:tcPr>
            <w:tcW w:w="4780" w:type="dxa"/>
            <w:gridSpan w:val="7"/>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4939" w:type="dxa"/>
            <w:gridSpan w:val="3"/>
            <w:vMerge w:val="continue"/>
            <w:shd w:val="clear" w:color="auto" w:fill="auto"/>
            <w:tcMar>
              <w:left w:w="108" w:type="dxa"/>
              <w:right w:w="108" w:type="dxa"/>
            </w:tcMar>
            <w:vAlign w:val="center"/>
          </w:tcPr>
          <w:p>
            <w:pPr>
              <w:shd w:val="clear"/>
              <w:spacing w:line="260" w:lineRule="exact"/>
              <w:jc w:val="center"/>
              <w:rPr>
                <w:rFonts w:ascii="方正黑体简体" w:eastAsia="方正黑体简体"/>
                <w:b/>
                <w:sz w:val="21"/>
                <w:szCs w:val="21"/>
              </w:rPr>
            </w:pPr>
          </w:p>
        </w:tc>
        <w:tc>
          <w:tcPr>
            <w:tcW w:w="622" w:type="dxa"/>
            <w:vMerge w:val="restart"/>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自然人</w:t>
            </w:r>
          </w:p>
        </w:tc>
        <w:tc>
          <w:tcPr>
            <w:tcW w:w="3683" w:type="dxa"/>
            <w:gridSpan w:val="5"/>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法人或其他组织</w:t>
            </w:r>
          </w:p>
        </w:tc>
        <w:tc>
          <w:tcPr>
            <w:tcW w:w="475" w:type="dxa"/>
            <w:vMerge w:val="restart"/>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4939" w:type="dxa"/>
            <w:gridSpan w:val="3"/>
            <w:vMerge w:val="continue"/>
            <w:shd w:val="clear" w:color="auto" w:fill="auto"/>
            <w:tcMar>
              <w:left w:w="108" w:type="dxa"/>
              <w:right w:w="108" w:type="dxa"/>
            </w:tcMar>
            <w:vAlign w:val="center"/>
          </w:tcPr>
          <w:p>
            <w:pPr>
              <w:shd w:val="clear"/>
              <w:spacing w:line="260" w:lineRule="exact"/>
              <w:jc w:val="center"/>
              <w:rPr>
                <w:rFonts w:ascii="方正仿宋简体" w:eastAsia="方正仿宋简体"/>
                <w:b/>
                <w:sz w:val="21"/>
                <w:szCs w:val="21"/>
              </w:rPr>
            </w:pPr>
          </w:p>
        </w:tc>
        <w:tc>
          <w:tcPr>
            <w:tcW w:w="622" w:type="dxa"/>
            <w:vMerge w:val="continue"/>
            <w:shd w:val="clear" w:color="auto" w:fill="auto"/>
            <w:tcMar>
              <w:left w:w="108" w:type="dxa"/>
              <w:right w:w="108" w:type="dxa"/>
            </w:tcMar>
            <w:vAlign w:val="center"/>
          </w:tcPr>
          <w:p>
            <w:pPr>
              <w:shd w:val="clear"/>
              <w:spacing w:line="260" w:lineRule="exact"/>
              <w:jc w:val="center"/>
              <w:rPr>
                <w:rFonts w:ascii="方正仿宋简体" w:hAnsi="黑体" w:eastAsia="方正仿宋简体"/>
                <w:b/>
                <w:sz w:val="21"/>
                <w:szCs w:val="21"/>
              </w:rPr>
            </w:pPr>
          </w:p>
        </w:tc>
        <w:tc>
          <w:tcPr>
            <w:tcW w:w="643" w:type="dxa"/>
            <w:shd w:val="clear" w:color="auto" w:fill="auto"/>
            <w:tcMar>
              <w:left w:w="108" w:type="dxa"/>
              <w:right w:w="108" w:type="dxa"/>
            </w:tcMar>
            <w:vAlign w:val="center"/>
          </w:tcPr>
          <w:p>
            <w:pPr>
              <w:widowControl/>
              <w:shd w:val="clear"/>
              <w:spacing w:line="260" w:lineRule="exact"/>
              <w:ind w:left="-106" w:leftChars="-51" w:right="-107"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商业企业</w:t>
            </w:r>
          </w:p>
        </w:tc>
        <w:tc>
          <w:tcPr>
            <w:tcW w:w="657" w:type="dxa"/>
            <w:shd w:val="clear" w:color="auto" w:fill="auto"/>
            <w:tcMar>
              <w:left w:w="108" w:type="dxa"/>
              <w:right w:w="108" w:type="dxa"/>
            </w:tcMar>
            <w:vAlign w:val="center"/>
          </w:tcPr>
          <w:p>
            <w:pPr>
              <w:widowControl/>
              <w:shd w:val="clear"/>
              <w:spacing w:line="260" w:lineRule="exact"/>
              <w:ind w:left="-107" w:leftChars="-51" w:right="-107" w:rightChars="-51"/>
              <w:jc w:val="center"/>
              <w:rPr>
                <w:rFonts w:ascii="方正黑体简体" w:hAnsi="黑体" w:eastAsia="方正黑体简体"/>
                <w:b/>
                <w:sz w:val="21"/>
                <w:szCs w:val="21"/>
              </w:rPr>
            </w:pPr>
            <w:r>
              <w:rPr>
                <w:rFonts w:hint="eastAsia" w:ascii="方正黑体简体" w:hAnsi="黑体" w:eastAsia="方正黑体简体"/>
                <w:b/>
                <w:sz w:val="21"/>
                <w:szCs w:val="21"/>
              </w:rPr>
              <w:t>科研机构</w:t>
            </w:r>
          </w:p>
        </w:tc>
        <w:tc>
          <w:tcPr>
            <w:tcW w:w="1052" w:type="dxa"/>
            <w:shd w:val="clear" w:color="auto" w:fill="auto"/>
            <w:tcMar>
              <w:left w:w="108" w:type="dxa"/>
              <w:right w:w="108" w:type="dxa"/>
            </w:tcMar>
            <w:vAlign w:val="center"/>
          </w:tcPr>
          <w:p>
            <w:pPr>
              <w:widowControl/>
              <w:shd w:val="clear"/>
              <w:spacing w:line="260" w:lineRule="exact"/>
              <w:ind w:left="-107" w:leftChars="-51" w:right="-107" w:rightChars="-51"/>
              <w:jc w:val="center"/>
              <w:rPr>
                <w:rFonts w:ascii="方正黑体简体" w:hAnsi="黑体" w:eastAsia="方正黑体简体"/>
                <w:b/>
                <w:sz w:val="21"/>
                <w:szCs w:val="21"/>
              </w:rPr>
            </w:pPr>
            <w:r>
              <w:rPr>
                <w:rFonts w:hint="eastAsia" w:ascii="方正黑体简体" w:hAnsi="黑体" w:eastAsia="方正黑体简体"/>
                <w:b/>
                <w:sz w:val="21"/>
                <w:szCs w:val="21"/>
              </w:rPr>
              <w:t>社会公益组织</w:t>
            </w:r>
          </w:p>
        </w:tc>
        <w:tc>
          <w:tcPr>
            <w:tcW w:w="897" w:type="dxa"/>
            <w:shd w:val="clear" w:color="auto" w:fill="auto"/>
            <w:tcMar>
              <w:left w:w="108" w:type="dxa"/>
              <w:right w:w="108" w:type="dxa"/>
            </w:tcMar>
            <w:vAlign w:val="center"/>
          </w:tcPr>
          <w:p>
            <w:pPr>
              <w:widowControl/>
              <w:shd w:val="clear"/>
              <w:spacing w:line="260" w:lineRule="exact"/>
              <w:ind w:left="-106" w:leftChars="-51" w:right="-107"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法律服务机构</w:t>
            </w:r>
          </w:p>
        </w:tc>
        <w:tc>
          <w:tcPr>
            <w:tcW w:w="434" w:type="dxa"/>
            <w:shd w:val="clear" w:color="auto" w:fill="auto"/>
            <w:tcMar>
              <w:left w:w="108" w:type="dxa"/>
              <w:right w:w="108" w:type="dxa"/>
            </w:tcMar>
            <w:vAlign w:val="center"/>
          </w:tcPr>
          <w:p>
            <w:pPr>
              <w:widowControl/>
              <w:shd w:val="clear"/>
              <w:spacing w:line="260" w:lineRule="exact"/>
              <w:ind w:left="-63" w:leftChars="-30" w:right="-134" w:rightChars="-64"/>
              <w:jc w:val="center"/>
              <w:rPr>
                <w:rFonts w:ascii="方正黑体简体" w:hAnsi="黑体" w:eastAsia="方正黑体简体"/>
                <w:b/>
                <w:sz w:val="21"/>
                <w:szCs w:val="21"/>
              </w:rPr>
            </w:pPr>
            <w:r>
              <w:rPr>
                <w:rFonts w:hint="eastAsia" w:ascii="方正黑体简体" w:hAnsi="黑体" w:eastAsia="方正黑体简体"/>
                <w:b/>
                <w:sz w:val="21"/>
                <w:szCs w:val="21"/>
              </w:rPr>
              <w:t>其他</w:t>
            </w:r>
          </w:p>
        </w:tc>
        <w:tc>
          <w:tcPr>
            <w:tcW w:w="475" w:type="dxa"/>
            <w:vMerge w:val="continue"/>
            <w:shd w:val="clear" w:color="auto" w:fill="auto"/>
            <w:tcMar>
              <w:left w:w="108" w:type="dxa"/>
              <w:right w:w="108" w:type="dxa"/>
            </w:tcMar>
            <w:vAlign w:val="center"/>
          </w:tcPr>
          <w:p>
            <w:pPr>
              <w:shd w:val="clear"/>
              <w:spacing w:line="260" w:lineRule="exact"/>
              <w:jc w:val="center"/>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4939" w:type="dxa"/>
            <w:gridSpan w:val="3"/>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w:t>
            </w:r>
            <w:bookmarkStart w:id="0" w:name="_Hlk66973412"/>
            <w:r>
              <w:rPr>
                <w:rFonts w:hint="eastAsia" w:ascii="方正仿宋简体" w:hAnsi="黑体" w:eastAsia="方正仿宋简体"/>
                <w:b/>
                <w:sz w:val="21"/>
                <w:szCs w:val="21"/>
              </w:rPr>
              <w:t>本年新收政府信息公开申请数量</w:t>
            </w:r>
            <w:bookmarkEnd w:id="0"/>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4939" w:type="dxa"/>
            <w:gridSpan w:val="3"/>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二、上年结转政府信息公开申请数量</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restart"/>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三、本年度办理结果</w:t>
            </w:r>
          </w:p>
        </w:tc>
        <w:tc>
          <w:tcPr>
            <w:tcW w:w="4116" w:type="dxa"/>
            <w:gridSpan w:val="2"/>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（一）予以公开</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4116" w:type="dxa"/>
            <w:gridSpan w:val="2"/>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（二）部分公开（</w:t>
            </w:r>
            <w:bookmarkStart w:id="1" w:name="_Hlk66973981"/>
            <w:r>
              <w:rPr>
                <w:rFonts w:hint="eastAsia" w:ascii="方正仿宋简体" w:hAnsi="黑体" w:eastAsia="方正仿宋简体"/>
                <w:b/>
                <w:sz w:val="21"/>
                <w:szCs w:val="21"/>
              </w:rPr>
              <w:t>区分处理的，只计这一情形，不计其他情形</w:t>
            </w:r>
            <w:bookmarkEnd w:id="1"/>
            <w:r>
              <w:rPr>
                <w:rFonts w:hint="eastAsia" w:ascii="方正仿宋简体" w:hAnsi="黑体" w:eastAsia="方正仿宋简体"/>
                <w:b/>
                <w:sz w:val="21"/>
                <w:szCs w:val="21"/>
              </w:rPr>
              <w:t>）</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restart"/>
            <w:shd w:val="clear" w:color="auto" w:fill="auto"/>
            <w:tcMar>
              <w:left w:w="108" w:type="dxa"/>
              <w:right w:w="108" w:type="dxa"/>
            </w:tcMar>
            <w:vAlign w:val="center"/>
          </w:tcPr>
          <w:p>
            <w:pPr>
              <w:widowControl/>
              <w:shd w:val="clear"/>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（三）不予公开</w:t>
            </w: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1.属于国家秘密</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w:t>
            </w:r>
            <w:bookmarkStart w:id="2" w:name="_Hlk66974104"/>
            <w:r>
              <w:rPr>
                <w:rFonts w:hint="eastAsia" w:ascii="方正仿宋简体" w:hAnsi="黑体" w:eastAsia="方正仿宋简体"/>
                <w:b/>
                <w:sz w:val="21"/>
                <w:szCs w:val="21"/>
              </w:rPr>
              <w:t>其他法律行政法规禁止公开</w:t>
            </w:r>
            <w:bookmarkEnd w:id="2"/>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3.危及“三安全一稳定”</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w:t>
            </w:r>
            <w:bookmarkStart w:id="3" w:name="_Hlk66974290"/>
            <w:r>
              <w:rPr>
                <w:rFonts w:hint="eastAsia" w:ascii="方正仿宋简体" w:hAnsi="黑体" w:eastAsia="方正仿宋简体"/>
                <w:b/>
                <w:sz w:val="21"/>
                <w:szCs w:val="21"/>
              </w:rPr>
              <w:t>保护第三方合法权益</w:t>
            </w:r>
            <w:bookmarkEnd w:id="3"/>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5.属于三类内部事务信息</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6.</w:t>
            </w:r>
            <w:bookmarkStart w:id="4" w:name="_Hlk66974555"/>
            <w:r>
              <w:rPr>
                <w:rFonts w:hint="eastAsia" w:ascii="方正仿宋简体" w:hAnsi="黑体" w:eastAsia="方正仿宋简体"/>
                <w:b/>
                <w:sz w:val="21"/>
                <w:szCs w:val="21"/>
              </w:rPr>
              <w:t>属于四类过程性信息</w:t>
            </w:r>
            <w:bookmarkEnd w:id="4"/>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7.属于行政执法案卷</w:t>
            </w:r>
          </w:p>
        </w:tc>
        <w:tc>
          <w:tcPr>
            <w:tcW w:w="62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8.</w:t>
            </w:r>
            <w:bookmarkStart w:id="5" w:name="_Hlk66975211"/>
            <w:r>
              <w:rPr>
                <w:rFonts w:hint="eastAsia" w:ascii="方正仿宋简体" w:hAnsi="黑体" w:eastAsia="方正仿宋简体"/>
                <w:b/>
                <w:sz w:val="21"/>
                <w:szCs w:val="21"/>
              </w:rPr>
              <w:t>属于行政查询事项</w:t>
            </w:r>
            <w:bookmarkEnd w:id="5"/>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restart"/>
            <w:shd w:val="clear" w:color="auto" w:fill="auto"/>
            <w:tcMar>
              <w:left w:w="108" w:type="dxa"/>
              <w:right w:w="108" w:type="dxa"/>
            </w:tcMar>
            <w:vAlign w:val="center"/>
          </w:tcPr>
          <w:p>
            <w:pPr>
              <w:widowControl/>
              <w:shd w:val="clear"/>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（四）无法提供</w:t>
            </w: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1.本机关不掌握相关政府信息</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ind w:left="-107" w:leftChars="-51"/>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w:t>
            </w:r>
            <w:bookmarkStart w:id="6" w:name="_Hlk66975392"/>
            <w:r>
              <w:rPr>
                <w:rFonts w:hint="eastAsia" w:ascii="方正仿宋简体" w:hAnsi="黑体" w:eastAsia="方正仿宋简体"/>
                <w:b/>
                <w:sz w:val="21"/>
                <w:szCs w:val="21"/>
              </w:rPr>
              <w:t>没有现成信息需要另行制作</w:t>
            </w:r>
            <w:bookmarkEnd w:id="6"/>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ind w:left="-107" w:leftChars="-51"/>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w:t>
            </w:r>
            <w:bookmarkStart w:id="7" w:name="_Hlk66975466"/>
            <w:r>
              <w:rPr>
                <w:rFonts w:hint="eastAsia" w:ascii="方正仿宋简体" w:hAnsi="黑体" w:eastAsia="方正仿宋简体"/>
                <w:b/>
                <w:spacing w:val="-8"/>
                <w:sz w:val="21"/>
                <w:szCs w:val="21"/>
              </w:rPr>
              <w:t>补正后申请内容仍不明确</w:t>
            </w:r>
            <w:bookmarkEnd w:id="7"/>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restart"/>
            <w:shd w:val="clear" w:color="auto" w:fill="auto"/>
            <w:tcMar>
              <w:left w:w="108" w:type="dxa"/>
              <w:right w:w="108" w:type="dxa"/>
            </w:tcMar>
            <w:vAlign w:val="center"/>
          </w:tcPr>
          <w:p>
            <w:pPr>
              <w:widowControl/>
              <w:shd w:val="clear"/>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（五）不予处理</w:t>
            </w: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w:t>
            </w:r>
            <w:bookmarkStart w:id="8" w:name="_Hlk66975537"/>
            <w:r>
              <w:rPr>
                <w:rFonts w:hint="eastAsia" w:ascii="方正仿宋简体" w:hAnsi="黑体" w:eastAsia="方正仿宋简体"/>
                <w:b/>
                <w:sz w:val="21"/>
                <w:szCs w:val="21"/>
              </w:rPr>
              <w:t>信访举报投诉类申请</w:t>
            </w:r>
            <w:bookmarkEnd w:id="8"/>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2.重复申请</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3.要求提供公开出版物</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w:t>
            </w:r>
            <w:r>
              <w:rPr>
                <w:rFonts w:hint="eastAsia" w:ascii="方正仿宋简体" w:hAnsi="黑体" w:eastAsia="方正仿宋简体"/>
                <w:b/>
                <w:spacing w:val="-8"/>
                <w:sz w:val="21"/>
                <w:szCs w:val="21"/>
              </w:rPr>
              <w:t>无正当理由大量反复申请</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5.要求行政机关确认或重新出具已获取信息</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restart"/>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（六）其他处理</w:t>
            </w:r>
          </w:p>
        </w:tc>
        <w:tc>
          <w:tcPr>
            <w:tcW w:w="2238" w:type="dxa"/>
            <w:shd w:val="clear" w:color="auto" w:fill="auto"/>
            <w:vAlign w:val="center"/>
          </w:tcPr>
          <w:p>
            <w:pPr>
              <w:widowControl/>
              <w:shd w:val="clear"/>
              <w:spacing w:line="260" w:lineRule="exact"/>
              <w:rPr>
                <w:rFonts w:ascii="方正仿宋简体" w:hAnsi="楷体" w:eastAsia="方正仿宋简体"/>
                <w:b/>
                <w:sz w:val="21"/>
                <w:szCs w:val="21"/>
              </w:rPr>
            </w:pPr>
            <w:r>
              <w:rPr>
                <w:rFonts w:hint="eastAsia" w:ascii="方正仿宋简体" w:hAnsi="楷体" w:eastAsia="方正仿宋简体"/>
                <w:b/>
                <w:sz w:val="21"/>
                <w:szCs w:val="21"/>
              </w:rPr>
              <w:t>1.申请人无正当理由逾期不补正、行政机关不再处理其政府信息公开申请</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p>
        </w:tc>
        <w:tc>
          <w:tcPr>
            <w:tcW w:w="2238" w:type="dxa"/>
            <w:shd w:val="clear" w:color="auto" w:fill="auto"/>
            <w:vAlign w:val="center"/>
          </w:tcPr>
          <w:p>
            <w:pPr>
              <w:widowControl/>
              <w:shd w:val="clear"/>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2.申请人逾期未按收费通知要求缴纳费用、行政机关不再处理其政府信息公开申请</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p>
        </w:tc>
        <w:tc>
          <w:tcPr>
            <w:tcW w:w="2238" w:type="dxa"/>
            <w:shd w:val="clear" w:color="auto" w:fill="auto"/>
            <w:vAlign w:val="center"/>
          </w:tcPr>
          <w:p>
            <w:pPr>
              <w:widowControl/>
              <w:shd w:val="clear"/>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3.其他</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4116" w:type="dxa"/>
            <w:gridSpan w:val="2"/>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（七）总计</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4939" w:type="dxa"/>
            <w:gridSpan w:val="3"/>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四、结转下年度继续办理</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keepNext w:val="0"/>
        <w:keepLines w:val="0"/>
        <w:pageBreakBefore w:val="0"/>
        <w:shd w:val="clear"/>
        <w:kinsoku/>
        <w:wordWrap/>
        <w:overflowPunct/>
        <w:topLinePunct w:val="0"/>
        <w:autoSpaceDE/>
        <w:autoSpaceDN/>
        <w:bidi w:val="0"/>
        <w:adjustRightInd/>
        <w:snapToGrid/>
        <w:spacing w:line="590" w:lineRule="exact"/>
        <w:ind w:right="-105" w:rightChars="-50"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四、政府信息公开行政复议、行政诉讼情况</w:t>
      </w:r>
    </w:p>
    <w:tbl>
      <w:tblPr>
        <w:tblStyle w:val="4"/>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行政复议</w:t>
            </w:r>
          </w:p>
        </w:tc>
        <w:tc>
          <w:tcPr>
            <w:tcW w:w="5922" w:type="dxa"/>
            <w:gridSpan w:val="10"/>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hd w:val="clear"/>
              <w:spacing w:line="320" w:lineRule="exact"/>
              <w:ind w:left="-149" w:leftChars="-71" w:right="-170" w:rightChars="-81"/>
              <w:jc w:val="center"/>
              <w:rPr>
                <w:rFonts w:ascii="方正黑体简体" w:hAnsi="黑体" w:eastAsia="方正黑体简体"/>
                <w:b/>
                <w:sz w:val="24"/>
                <w:szCs w:val="24"/>
              </w:rPr>
            </w:pPr>
            <w:r>
              <w:rPr>
                <w:rFonts w:hint="eastAsia" w:ascii="方正黑体简体" w:hAnsi="黑体" w:eastAsia="方正黑体简体"/>
                <w:b/>
                <w:sz w:val="24"/>
                <w:szCs w:val="24"/>
              </w:rPr>
              <w:t>结果</w:t>
            </w:r>
          </w:p>
          <w:p>
            <w:pPr>
              <w:widowControl/>
              <w:shd w:val="clear"/>
              <w:spacing w:line="320" w:lineRule="exact"/>
              <w:ind w:left="-149" w:leftChars="-71" w:right="-170" w:rightChars="-81"/>
              <w:jc w:val="center"/>
              <w:rPr>
                <w:rFonts w:ascii="方正黑体简体" w:hAnsi="黑体" w:eastAsia="方正黑体简体"/>
                <w:b/>
                <w:sz w:val="24"/>
                <w:szCs w:val="24"/>
              </w:rPr>
            </w:pPr>
            <w:r>
              <w:rPr>
                <w:rFonts w:hint="eastAsia" w:ascii="方正黑体简体" w:hAnsi="黑体" w:eastAsia="方正黑体简体"/>
                <w:b/>
                <w:sz w:val="24"/>
                <w:szCs w:val="24"/>
              </w:rPr>
              <w:t>维持</w:t>
            </w:r>
          </w:p>
        </w:tc>
        <w:tc>
          <w:tcPr>
            <w:tcW w:w="604" w:type="dxa"/>
            <w:vMerge w:val="restart"/>
            <w:shd w:val="clear" w:color="auto" w:fill="auto"/>
            <w:tcMar>
              <w:left w:w="108" w:type="dxa"/>
              <w:right w:w="108" w:type="dxa"/>
            </w:tcMar>
            <w:vAlign w:val="center"/>
          </w:tcPr>
          <w:p>
            <w:pPr>
              <w:widowControl/>
              <w:shd w:val="clear"/>
              <w:spacing w:line="320" w:lineRule="exact"/>
              <w:ind w:left="-43" w:leftChars="-21" w:right="-132" w:rightChars="-63" w:hanging="1"/>
              <w:jc w:val="center"/>
              <w:rPr>
                <w:rFonts w:ascii="方正黑体简体" w:hAnsi="黑体" w:eastAsia="方正黑体简体"/>
                <w:b/>
                <w:sz w:val="24"/>
                <w:szCs w:val="24"/>
              </w:rPr>
            </w:pPr>
            <w:r>
              <w:rPr>
                <w:rFonts w:hint="eastAsia" w:ascii="方正黑体简体" w:hAnsi="黑体" w:eastAsia="方正黑体简体"/>
                <w:b/>
                <w:sz w:val="24"/>
                <w:szCs w:val="24"/>
              </w:rPr>
              <w:t>结果纠正</w:t>
            </w:r>
          </w:p>
        </w:tc>
        <w:tc>
          <w:tcPr>
            <w:tcW w:w="604" w:type="dxa"/>
            <w:vMerge w:val="restart"/>
            <w:shd w:val="clear" w:color="auto" w:fill="auto"/>
            <w:tcMar>
              <w:left w:w="108" w:type="dxa"/>
              <w:right w:w="108" w:type="dxa"/>
            </w:tcMar>
            <w:vAlign w:val="center"/>
          </w:tcPr>
          <w:p>
            <w:pPr>
              <w:widowControl/>
              <w:shd w:val="clear"/>
              <w:spacing w:line="320" w:lineRule="exact"/>
              <w:ind w:left="-82" w:leftChars="-39" w:right="-97" w:rightChars="-46"/>
              <w:jc w:val="center"/>
              <w:rPr>
                <w:rFonts w:ascii="方正黑体简体" w:hAnsi="黑体" w:eastAsia="方正黑体简体"/>
                <w:b/>
                <w:sz w:val="24"/>
                <w:szCs w:val="24"/>
              </w:rPr>
            </w:pPr>
            <w:r>
              <w:rPr>
                <w:rFonts w:hint="eastAsia" w:ascii="方正黑体简体" w:hAnsi="黑体" w:eastAsia="方正黑体简体"/>
                <w:b/>
                <w:sz w:val="24"/>
                <w:szCs w:val="24"/>
              </w:rPr>
              <w:t>其他结果</w:t>
            </w:r>
          </w:p>
        </w:tc>
        <w:tc>
          <w:tcPr>
            <w:tcW w:w="604" w:type="dxa"/>
            <w:vMerge w:val="restart"/>
            <w:shd w:val="clear" w:color="auto" w:fill="auto"/>
            <w:tcMar>
              <w:left w:w="108" w:type="dxa"/>
              <w:right w:w="108" w:type="dxa"/>
            </w:tcMar>
            <w:vAlign w:val="center"/>
          </w:tcPr>
          <w:p>
            <w:pPr>
              <w:widowControl/>
              <w:shd w:val="clear"/>
              <w:spacing w:line="320" w:lineRule="exact"/>
              <w:ind w:left="-118" w:leftChars="-56" w:right="-118" w:rightChars="-56"/>
              <w:jc w:val="center"/>
              <w:rPr>
                <w:rFonts w:ascii="方正黑体简体" w:hAnsi="黑体" w:eastAsia="方正黑体简体"/>
                <w:b/>
                <w:sz w:val="24"/>
                <w:szCs w:val="24"/>
              </w:rPr>
            </w:pPr>
            <w:r>
              <w:rPr>
                <w:rFonts w:hint="eastAsia" w:ascii="方正黑体简体" w:hAnsi="黑体" w:eastAsia="方正黑体简体"/>
                <w:b/>
                <w:sz w:val="24"/>
                <w:szCs w:val="24"/>
              </w:rPr>
              <w:t>尚未</w:t>
            </w:r>
          </w:p>
          <w:p>
            <w:pPr>
              <w:widowControl/>
              <w:shd w:val="clear"/>
              <w:spacing w:line="320" w:lineRule="exact"/>
              <w:ind w:left="-118" w:leftChars="-56" w:right="-118" w:rightChars="-56"/>
              <w:jc w:val="center"/>
              <w:rPr>
                <w:rFonts w:ascii="方正黑体简体" w:hAnsi="黑体" w:eastAsia="方正黑体简体"/>
                <w:b/>
                <w:sz w:val="24"/>
                <w:szCs w:val="24"/>
              </w:rPr>
            </w:pPr>
            <w:r>
              <w:rPr>
                <w:rFonts w:hint="eastAsia" w:ascii="方正黑体简体" w:hAnsi="黑体" w:eastAsia="方正黑体简体"/>
                <w:b/>
                <w:sz w:val="24"/>
                <w:szCs w:val="24"/>
              </w:rPr>
              <w:t>审结</w:t>
            </w:r>
          </w:p>
        </w:tc>
        <w:tc>
          <w:tcPr>
            <w:tcW w:w="479" w:type="dxa"/>
            <w:vMerge w:val="restart"/>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w:t>
            </w:r>
          </w:p>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计</w:t>
            </w:r>
          </w:p>
        </w:tc>
        <w:tc>
          <w:tcPr>
            <w:tcW w:w="2943" w:type="dxa"/>
            <w:gridSpan w:val="5"/>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未经复议直接起诉</w:t>
            </w:r>
          </w:p>
        </w:tc>
        <w:tc>
          <w:tcPr>
            <w:tcW w:w="2979" w:type="dxa"/>
            <w:gridSpan w:val="5"/>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bookmarkStart w:id="9" w:name="_Hlk67039688"/>
            <w:r>
              <w:rPr>
                <w:rFonts w:hint="eastAsia" w:ascii="方正黑体简体" w:hAnsi="黑体" w:eastAsia="方正黑体简体"/>
                <w:b/>
                <w:sz w:val="24"/>
                <w:szCs w:val="24"/>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604"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604"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604"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479"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550" w:type="dxa"/>
            <w:shd w:val="clear" w:color="auto" w:fill="auto"/>
            <w:tcMar>
              <w:left w:w="108" w:type="dxa"/>
              <w:right w:w="108" w:type="dxa"/>
            </w:tcMar>
            <w:vAlign w:val="center"/>
          </w:tcPr>
          <w:p>
            <w:pPr>
              <w:widowControl/>
              <w:shd w:val="clear"/>
              <w:spacing w:line="320" w:lineRule="exact"/>
              <w:ind w:left="-105" w:leftChars="-50" w:right="-126" w:rightChars="-60"/>
              <w:jc w:val="center"/>
              <w:rPr>
                <w:rFonts w:ascii="方正黑体简体" w:hAnsi="黑体" w:eastAsia="方正黑体简体"/>
                <w:b/>
                <w:sz w:val="24"/>
                <w:szCs w:val="24"/>
              </w:rPr>
            </w:pPr>
            <w:r>
              <w:rPr>
                <w:rFonts w:hint="eastAsia" w:ascii="方正黑体简体" w:hAnsi="黑体" w:eastAsia="方正黑体简体"/>
                <w:b/>
                <w:sz w:val="24"/>
                <w:szCs w:val="24"/>
              </w:rPr>
              <w:t>结果维持</w:t>
            </w:r>
          </w:p>
        </w:tc>
        <w:tc>
          <w:tcPr>
            <w:tcW w:w="605" w:type="dxa"/>
            <w:shd w:val="clear" w:color="auto" w:fill="auto"/>
            <w:tcMar>
              <w:left w:w="108" w:type="dxa"/>
              <w:right w:w="108" w:type="dxa"/>
            </w:tcMar>
            <w:vAlign w:val="center"/>
          </w:tcPr>
          <w:p>
            <w:pPr>
              <w:widowControl/>
              <w:shd w:val="clear"/>
              <w:spacing w:line="320" w:lineRule="exact"/>
              <w:ind w:left="-86" w:leftChars="-41" w:right="-88" w:rightChars="-42"/>
              <w:jc w:val="center"/>
              <w:rPr>
                <w:rFonts w:ascii="方正黑体简体" w:hAnsi="黑体" w:eastAsia="方正黑体简体"/>
                <w:b/>
                <w:sz w:val="24"/>
                <w:szCs w:val="24"/>
              </w:rPr>
            </w:pPr>
            <w:r>
              <w:rPr>
                <w:rFonts w:hint="eastAsia" w:ascii="方正黑体简体" w:hAnsi="黑体" w:eastAsia="方正黑体简体"/>
                <w:b/>
                <w:sz w:val="24"/>
                <w:szCs w:val="24"/>
              </w:rPr>
              <w:t>结果纠正</w:t>
            </w:r>
          </w:p>
        </w:tc>
        <w:tc>
          <w:tcPr>
            <w:tcW w:w="605" w:type="dxa"/>
            <w:shd w:val="clear" w:color="auto" w:fill="auto"/>
            <w:tcMar>
              <w:left w:w="108" w:type="dxa"/>
              <w:right w:w="108" w:type="dxa"/>
            </w:tcMar>
            <w:vAlign w:val="center"/>
          </w:tcPr>
          <w:p>
            <w:pPr>
              <w:widowControl/>
              <w:shd w:val="clear"/>
              <w:spacing w:line="320" w:lineRule="exact"/>
              <w:ind w:left="-126" w:leftChars="-60" w:right="-136" w:rightChars="-65"/>
              <w:jc w:val="center"/>
              <w:rPr>
                <w:rFonts w:ascii="方正黑体简体" w:hAnsi="黑体" w:eastAsia="方正黑体简体"/>
                <w:b/>
                <w:sz w:val="24"/>
                <w:szCs w:val="24"/>
              </w:rPr>
            </w:pPr>
            <w:r>
              <w:rPr>
                <w:rFonts w:hint="eastAsia" w:ascii="方正黑体简体" w:hAnsi="黑体" w:eastAsia="方正黑体简体"/>
                <w:b/>
                <w:sz w:val="24"/>
                <w:szCs w:val="24"/>
              </w:rPr>
              <w:t>其他</w:t>
            </w:r>
          </w:p>
          <w:p>
            <w:pPr>
              <w:widowControl/>
              <w:shd w:val="clear"/>
              <w:spacing w:line="320" w:lineRule="exact"/>
              <w:ind w:left="-126" w:leftChars="-60" w:right="-136" w:rightChars="-65"/>
              <w:jc w:val="center"/>
              <w:rPr>
                <w:rFonts w:ascii="方正黑体简体" w:hAnsi="黑体" w:eastAsia="方正黑体简体"/>
                <w:b/>
                <w:sz w:val="24"/>
                <w:szCs w:val="24"/>
              </w:rPr>
            </w:pPr>
            <w:r>
              <w:rPr>
                <w:rFonts w:hint="eastAsia" w:ascii="方正黑体简体" w:hAnsi="黑体" w:eastAsia="方正黑体简体"/>
                <w:b/>
                <w:sz w:val="24"/>
                <w:szCs w:val="24"/>
              </w:rPr>
              <w:t>结果</w:t>
            </w:r>
          </w:p>
        </w:tc>
        <w:tc>
          <w:tcPr>
            <w:tcW w:w="605" w:type="dxa"/>
            <w:shd w:val="clear" w:color="auto" w:fill="auto"/>
            <w:tcMar>
              <w:left w:w="108" w:type="dxa"/>
              <w:right w:w="108" w:type="dxa"/>
            </w:tcMar>
            <w:vAlign w:val="center"/>
          </w:tcPr>
          <w:p>
            <w:pPr>
              <w:widowControl/>
              <w:shd w:val="clear"/>
              <w:spacing w:line="320" w:lineRule="exact"/>
              <w:ind w:left="-164" w:leftChars="-78" w:right="-153" w:rightChars="-73"/>
              <w:jc w:val="center"/>
              <w:rPr>
                <w:rFonts w:ascii="方正黑体简体" w:hAnsi="黑体" w:eastAsia="方正黑体简体"/>
                <w:b/>
                <w:sz w:val="24"/>
                <w:szCs w:val="24"/>
              </w:rPr>
            </w:pPr>
            <w:r>
              <w:rPr>
                <w:rFonts w:hint="eastAsia" w:ascii="方正黑体简体" w:hAnsi="黑体" w:eastAsia="方正黑体简体"/>
                <w:b/>
                <w:sz w:val="24"/>
                <w:szCs w:val="24"/>
              </w:rPr>
              <w:t>尚未</w:t>
            </w:r>
          </w:p>
          <w:p>
            <w:pPr>
              <w:widowControl/>
              <w:shd w:val="clear"/>
              <w:spacing w:line="320" w:lineRule="exact"/>
              <w:ind w:left="-164" w:leftChars="-78" w:right="-153" w:rightChars="-73"/>
              <w:jc w:val="center"/>
              <w:rPr>
                <w:rFonts w:ascii="方正黑体简体" w:hAnsi="黑体" w:eastAsia="方正黑体简体"/>
                <w:b/>
                <w:sz w:val="24"/>
                <w:szCs w:val="24"/>
              </w:rPr>
            </w:pPr>
            <w:r>
              <w:rPr>
                <w:rFonts w:hint="eastAsia" w:ascii="方正黑体简体" w:hAnsi="黑体" w:eastAsia="方正黑体简体"/>
                <w:b/>
                <w:sz w:val="24"/>
                <w:szCs w:val="24"/>
              </w:rPr>
              <w:t>审结</w:t>
            </w:r>
          </w:p>
        </w:tc>
        <w:tc>
          <w:tcPr>
            <w:tcW w:w="578" w:type="dxa"/>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总计</w:t>
            </w:r>
          </w:p>
        </w:tc>
        <w:tc>
          <w:tcPr>
            <w:tcW w:w="605" w:type="dxa"/>
            <w:shd w:val="clear" w:color="auto" w:fill="auto"/>
            <w:tcMar>
              <w:left w:w="108" w:type="dxa"/>
              <w:right w:w="108" w:type="dxa"/>
            </w:tcMar>
            <w:vAlign w:val="center"/>
          </w:tcPr>
          <w:p>
            <w:pPr>
              <w:widowControl/>
              <w:shd w:val="clear"/>
              <w:spacing w:line="320" w:lineRule="exact"/>
              <w:ind w:left="-99" w:leftChars="-47" w:right="-78" w:rightChars="-37"/>
              <w:jc w:val="center"/>
              <w:rPr>
                <w:rFonts w:ascii="方正黑体简体" w:hAnsi="黑体" w:eastAsia="方正黑体简体"/>
                <w:b/>
                <w:sz w:val="24"/>
                <w:szCs w:val="24"/>
              </w:rPr>
            </w:pPr>
            <w:r>
              <w:rPr>
                <w:rFonts w:hint="eastAsia" w:ascii="方正黑体简体" w:hAnsi="黑体" w:eastAsia="方正黑体简体"/>
                <w:b/>
                <w:sz w:val="24"/>
                <w:szCs w:val="24"/>
              </w:rPr>
              <w:t>结果维持</w:t>
            </w:r>
          </w:p>
        </w:tc>
        <w:tc>
          <w:tcPr>
            <w:tcW w:w="605" w:type="dxa"/>
            <w:shd w:val="clear" w:color="auto" w:fill="auto"/>
            <w:tcMar>
              <w:left w:w="108" w:type="dxa"/>
              <w:right w:w="108" w:type="dxa"/>
            </w:tcMar>
            <w:vAlign w:val="center"/>
          </w:tcPr>
          <w:p>
            <w:pPr>
              <w:widowControl/>
              <w:shd w:val="clear"/>
              <w:spacing w:line="320" w:lineRule="exact"/>
              <w:ind w:left="-136" w:leftChars="-65" w:right="-124" w:rightChars="-59"/>
              <w:jc w:val="center"/>
              <w:rPr>
                <w:rFonts w:ascii="方正黑体简体" w:hAnsi="黑体" w:eastAsia="方正黑体简体"/>
                <w:b/>
                <w:sz w:val="24"/>
                <w:szCs w:val="24"/>
              </w:rPr>
            </w:pPr>
            <w:r>
              <w:rPr>
                <w:rFonts w:hint="eastAsia" w:ascii="方正黑体简体" w:hAnsi="黑体" w:eastAsia="方正黑体简体"/>
                <w:b/>
                <w:sz w:val="24"/>
                <w:szCs w:val="24"/>
              </w:rPr>
              <w:t>结果</w:t>
            </w:r>
          </w:p>
          <w:p>
            <w:pPr>
              <w:widowControl/>
              <w:shd w:val="clear"/>
              <w:spacing w:line="320" w:lineRule="exact"/>
              <w:ind w:left="-136" w:leftChars="-65" w:right="-124" w:rightChars="-59"/>
              <w:jc w:val="center"/>
              <w:rPr>
                <w:rFonts w:ascii="方正黑体简体" w:hAnsi="黑体" w:eastAsia="方正黑体简体"/>
                <w:b/>
                <w:sz w:val="24"/>
                <w:szCs w:val="24"/>
              </w:rPr>
            </w:pPr>
            <w:r>
              <w:rPr>
                <w:rFonts w:hint="eastAsia" w:ascii="方正黑体简体" w:hAnsi="黑体" w:eastAsia="方正黑体简体"/>
                <w:b/>
                <w:sz w:val="24"/>
                <w:szCs w:val="24"/>
              </w:rPr>
              <w:t>纠正</w:t>
            </w:r>
          </w:p>
        </w:tc>
        <w:tc>
          <w:tcPr>
            <w:tcW w:w="605" w:type="dxa"/>
            <w:shd w:val="clear" w:color="auto" w:fill="auto"/>
            <w:tcMar>
              <w:left w:w="108" w:type="dxa"/>
              <w:right w:w="108" w:type="dxa"/>
            </w:tcMar>
            <w:vAlign w:val="center"/>
          </w:tcPr>
          <w:p>
            <w:pPr>
              <w:widowControl/>
              <w:shd w:val="clear"/>
              <w:spacing w:line="320" w:lineRule="exact"/>
              <w:ind w:left="-173" w:leftChars="-83" w:right="-134" w:rightChars="-64" w:hanging="1"/>
              <w:jc w:val="center"/>
              <w:rPr>
                <w:rFonts w:ascii="方正黑体简体" w:hAnsi="黑体" w:eastAsia="方正黑体简体"/>
                <w:b/>
                <w:sz w:val="24"/>
                <w:szCs w:val="24"/>
              </w:rPr>
            </w:pPr>
            <w:r>
              <w:rPr>
                <w:rFonts w:hint="eastAsia" w:ascii="方正黑体简体" w:hAnsi="黑体" w:eastAsia="方正黑体简体"/>
                <w:b/>
                <w:sz w:val="24"/>
                <w:szCs w:val="24"/>
              </w:rPr>
              <w:t>其他</w:t>
            </w:r>
          </w:p>
          <w:p>
            <w:pPr>
              <w:widowControl/>
              <w:shd w:val="clear"/>
              <w:spacing w:line="320" w:lineRule="exact"/>
              <w:ind w:left="-173" w:leftChars="-83" w:right="-134" w:rightChars="-64" w:hanging="1"/>
              <w:jc w:val="center"/>
              <w:rPr>
                <w:rFonts w:ascii="方正黑体简体" w:hAnsi="黑体" w:eastAsia="方正黑体简体"/>
                <w:b/>
                <w:sz w:val="24"/>
                <w:szCs w:val="24"/>
              </w:rPr>
            </w:pPr>
            <w:r>
              <w:rPr>
                <w:rFonts w:hint="eastAsia" w:ascii="方正黑体简体" w:hAnsi="黑体" w:eastAsia="方正黑体简体"/>
                <w:b/>
                <w:sz w:val="24"/>
                <w:szCs w:val="24"/>
              </w:rPr>
              <w:t>结果</w:t>
            </w:r>
          </w:p>
        </w:tc>
        <w:tc>
          <w:tcPr>
            <w:tcW w:w="606" w:type="dxa"/>
            <w:shd w:val="clear" w:color="auto" w:fill="auto"/>
            <w:tcMar>
              <w:left w:w="108" w:type="dxa"/>
              <w:right w:w="108" w:type="dxa"/>
            </w:tcMar>
            <w:vAlign w:val="center"/>
          </w:tcPr>
          <w:p>
            <w:pPr>
              <w:widowControl/>
              <w:shd w:val="clear"/>
              <w:spacing w:line="320" w:lineRule="exact"/>
              <w:ind w:left="-67" w:leftChars="-33" w:right="-105" w:rightChars="-50" w:hanging="2" w:hangingChars="1"/>
              <w:jc w:val="center"/>
              <w:rPr>
                <w:rFonts w:ascii="方正黑体简体" w:hAnsi="黑体" w:eastAsia="方正黑体简体"/>
                <w:b/>
                <w:sz w:val="24"/>
                <w:szCs w:val="24"/>
              </w:rPr>
            </w:pPr>
            <w:r>
              <w:rPr>
                <w:rFonts w:hint="eastAsia" w:ascii="方正黑体简体" w:hAnsi="黑体" w:eastAsia="方正黑体简体"/>
                <w:b/>
                <w:sz w:val="24"/>
                <w:szCs w:val="24"/>
              </w:rPr>
              <w:t>尚未审结</w:t>
            </w:r>
          </w:p>
        </w:tc>
        <w:tc>
          <w:tcPr>
            <w:tcW w:w="558" w:type="dxa"/>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479"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50"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78"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6"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58"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r>
    </w:tbl>
    <w:p>
      <w:pPr>
        <w:keepNext w:val="0"/>
        <w:keepLines w:val="0"/>
        <w:pageBreakBefore w:val="0"/>
        <w:shd w:val="clear"/>
        <w:kinsoku/>
        <w:wordWrap/>
        <w:overflowPunct/>
        <w:topLinePunct w:val="0"/>
        <w:autoSpaceDE/>
        <w:autoSpaceDN/>
        <w:bidi w:val="0"/>
        <w:adjustRightInd/>
        <w:snapToGrid/>
        <w:spacing w:line="590" w:lineRule="exact"/>
        <w:ind w:right="-105" w:rightChars="-50"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sz w:val="31"/>
          <w:szCs w:val="31"/>
          <w:shd w:val="clear" w:fill="FFFFFF"/>
        </w:rPr>
        <w:t>202</w:t>
      </w:r>
      <w:r>
        <w:rPr>
          <w:rFonts w:hint="eastAsia" w:ascii="仿宋_GB2312" w:hAnsi="微软雅黑" w:eastAsia="仿宋_GB2312" w:cs="仿宋_GB2312"/>
          <w:i w:val="0"/>
          <w:iCs w:val="0"/>
          <w:caps w:val="0"/>
          <w:color w:val="333333"/>
          <w:spacing w:val="0"/>
          <w:sz w:val="31"/>
          <w:szCs w:val="31"/>
          <w:shd w:val="clear" w:fill="FFFFFF"/>
        </w:rPr>
        <w:t>2年，西平镇认真贯彻落实年度省、市、区政务公开工作要点，但仍然存在一些问题与不足。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vertAlign w:val="baseline"/>
        </w:rPr>
        <w:t>一是内容上还不够创新，政策宣传方面表现形式还不够丰富，群众难读懂、难理解的情况仍有存在。二是时效上还不够到位，信息的有效性、及时性有待进一步提高。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vertAlign w:val="baseline"/>
        </w:rPr>
        <w:t>下一步，将从以下几方面抓好政务公开</w:t>
      </w:r>
      <w:bookmarkStart w:id="10" w:name="_GoBack"/>
      <w:bookmarkEnd w:id="10"/>
      <w:r>
        <w:rPr>
          <w:rFonts w:hint="eastAsia" w:ascii="仿宋_GB2312" w:hAnsi="微软雅黑" w:eastAsia="仿宋_GB2312" w:cs="仿宋_GB2312"/>
          <w:i w:val="0"/>
          <w:iCs w:val="0"/>
          <w:caps w:val="0"/>
          <w:color w:val="333333"/>
          <w:spacing w:val="0"/>
          <w:sz w:val="31"/>
          <w:szCs w:val="31"/>
          <w:shd w:val="clear" w:fill="FFFFFF"/>
          <w:vertAlign w:val="baseline"/>
        </w:rPr>
        <w:t>工作：一是强化责任落实。按照工作清单化、清单责任化、责任考核化的要求，进一步明确政务公开工作责任人，压紧工作职责，细化政务网站日常运维。二是强化督查督办。按照清单管理、闭环推进工作机制的要求，将政务公开纳入日常督查清单。三是强化学习培训。组织开展政务公开政策法规、业务实操等方面的学习培训，提升干部职工政务公开工作的能力和水平。</w:t>
      </w:r>
    </w:p>
    <w:p>
      <w:pPr>
        <w:keepNext w:val="0"/>
        <w:keepLines w:val="0"/>
        <w:pageBreakBefore w:val="0"/>
        <w:shd w:val="clear"/>
        <w:kinsoku/>
        <w:wordWrap/>
        <w:overflowPunct/>
        <w:topLinePunct w:val="0"/>
        <w:autoSpaceDE/>
        <w:autoSpaceDN/>
        <w:bidi w:val="0"/>
        <w:adjustRightInd/>
        <w:snapToGrid/>
        <w:spacing w:line="590" w:lineRule="exact"/>
        <w:ind w:right="-105" w:rightChars="-5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(一)依据《政府信息公开信息处理费管理办法》收取信息处理费的情况:无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(二)落实上级年度政务公开工作要点情况:自足自身职能，结合工作实际，有效落实政务公开工作任务。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(三)人大代表建议和政协提案办理结果公开情况:2022年，我单位收到人大代表建议</w:t>
      </w:r>
      <w:r>
        <w:rPr>
          <w:rFonts w:hint="eastAsia" w:ascii="仿宋_GB2312" w:hAnsi="微软雅黑" w:eastAsia="仿宋_GB2312" w:cs="仿宋_GB2312"/>
          <w:i w:val="0"/>
          <w:caps w:val="0"/>
          <w:color w:val="000000"/>
          <w:spacing w:val="0"/>
          <w:sz w:val="32"/>
          <w:szCs w:val="32"/>
          <w:shd w:val="clear" w:color="auto" w:fill="auto"/>
          <w:lang w:val="en-US" w:eastAsia="zh-CN"/>
        </w:rPr>
        <w:t>0</w:t>
      </w:r>
      <w:r>
        <w:rPr>
          <w:rFonts w:hint="eastAsia" w:ascii="仿宋_GB2312" w:hAnsi="微软雅黑" w:eastAsia="仿宋_GB2312" w:cs="仿宋_GB2312"/>
          <w:i w:val="0"/>
          <w:caps w:val="0"/>
          <w:color w:val="000000"/>
          <w:spacing w:val="0"/>
          <w:sz w:val="32"/>
          <w:szCs w:val="32"/>
          <w:shd w:val="clear" w:color="auto" w:fill="auto"/>
        </w:rPr>
        <w:t>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(四)年度政务公开工作创新情况:无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(五)政府信息公开工作年度报告数据统计需要说明的事项:无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(六)需要报告的其他事项:无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color="auto" w:fill="auto"/>
        </w:rPr>
      </w:pPr>
      <w:r>
        <w:rPr>
          <w:rFonts w:hint="eastAsia" w:ascii="仿宋_GB2312" w:hAnsi="微软雅黑" w:eastAsia="仿宋_GB2312" w:cs="仿宋_GB2312"/>
          <w:i w:val="0"/>
          <w:caps w:val="0"/>
          <w:color w:val="000000"/>
          <w:spacing w:val="0"/>
          <w:sz w:val="32"/>
          <w:szCs w:val="32"/>
          <w:shd w:val="clear" w:color="auto" w:fill="auto"/>
        </w:rPr>
        <w:t>(七)其他有关文件专门要求通过政府信息公开工作年度报告予以报告的事项:无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5120" w:firstLineChars="1600"/>
        <w:jc w:val="both"/>
        <w:textAlignment w:val="auto"/>
        <w:rPr>
          <w:rFonts w:ascii="黑体" w:hAnsi="宋体" w:eastAsia="黑体" w:cs="黑体"/>
          <w:i w:val="0"/>
          <w:caps w:val="0"/>
          <w:color w:val="333333"/>
          <w:spacing w:val="0"/>
          <w:sz w:val="31"/>
          <w:szCs w:val="31"/>
          <w:shd w:val="clear" w:color="auto" w:fill="auto"/>
        </w:rPr>
      </w:pPr>
      <w:r>
        <w:rPr>
          <w:rFonts w:hint="eastAsia" w:ascii="仿宋_GB2312" w:hAnsi="微软雅黑" w:eastAsia="仿宋_GB2312" w:cs="仿宋_GB2312"/>
          <w:i w:val="0"/>
          <w:caps w:val="0"/>
          <w:color w:val="000000"/>
          <w:spacing w:val="0"/>
          <w:sz w:val="32"/>
          <w:szCs w:val="32"/>
          <w:shd w:val="clear" w:color="auto" w:fill="auto"/>
          <w:lang w:val="en-US" w:eastAsia="zh-CN"/>
        </w:rPr>
        <w:t>2023年1月30日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9040EC"/>
    <w:multiLevelType w:val="singleLevel"/>
    <w:tmpl w:val="B79040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c4MGM4N2JjOThjNjA2ZGQxMWExYmI2ZTBiOGIifQ=="/>
  </w:docVars>
  <w:rsids>
    <w:rsidRoot w:val="00000000"/>
    <w:rsid w:val="00312BAF"/>
    <w:rsid w:val="00907B94"/>
    <w:rsid w:val="012F0F59"/>
    <w:rsid w:val="014E6667"/>
    <w:rsid w:val="01980A48"/>
    <w:rsid w:val="026B32B8"/>
    <w:rsid w:val="04BB0735"/>
    <w:rsid w:val="04CF1850"/>
    <w:rsid w:val="07364281"/>
    <w:rsid w:val="094674E0"/>
    <w:rsid w:val="0A297BA1"/>
    <w:rsid w:val="0B5D0BB4"/>
    <w:rsid w:val="0B8207ED"/>
    <w:rsid w:val="0C520900"/>
    <w:rsid w:val="0CD45142"/>
    <w:rsid w:val="0F6E4088"/>
    <w:rsid w:val="14891FC8"/>
    <w:rsid w:val="15353A4B"/>
    <w:rsid w:val="16BB517E"/>
    <w:rsid w:val="1AAE391A"/>
    <w:rsid w:val="1B08665A"/>
    <w:rsid w:val="1EB167FE"/>
    <w:rsid w:val="1F8D1577"/>
    <w:rsid w:val="20D7156C"/>
    <w:rsid w:val="21534FE3"/>
    <w:rsid w:val="22B131A4"/>
    <w:rsid w:val="245F7074"/>
    <w:rsid w:val="24CB7509"/>
    <w:rsid w:val="2AC125FA"/>
    <w:rsid w:val="2F566E0F"/>
    <w:rsid w:val="306C3298"/>
    <w:rsid w:val="30D71296"/>
    <w:rsid w:val="30DD557F"/>
    <w:rsid w:val="33251860"/>
    <w:rsid w:val="35AB20DF"/>
    <w:rsid w:val="3C886331"/>
    <w:rsid w:val="44A504C0"/>
    <w:rsid w:val="497543BA"/>
    <w:rsid w:val="4AE26025"/>
    <w:rsid w:val="4B3B57AE"/>
    <w:rsid w:val="51DC3981"/>
    <w:rsid w:val="521F4392"/>
    <w:rsid w:val="5253334F"/>
    <w:rsid w:val="539B7C68"/>
    <w:rsid w:val="55ED0CBB"/>
    <w:rsid w:val="58D32600"/>
    <w:rsid w:val="59782536"/>
    <w:rsid w:val="5E860B9D"/>
    <w:rsid w:val="5ECF2AA2"/>
    <w:rsid w:val="66A82DDC"/>
    <w:rsid w:val="6F1563F8"/>
    <w:rsid w:val="728227E5"/>
    <w:rsid w:val="743C4B30"/>
    <w:rsid w:val="74EB3356"/>
    <w:rsid w:val="75205996"/>
    <w:rsid w:val="7694110E"/>
    <w:rsid w:val="77BC769C"/>
    <w:rsid w:val="781B0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2022年度西平镇主动公开政府信息</a:t>
            </a:r>
          </a:p>
        </c:rich>
      </c:tx>
      <c:layout/>
      <c:overlay val="0"/>
      <c:spPr>
        <a:noFill/>
        <a:ln>
          <a:noFill/>
        </a:ln>
        <a:effectLst/>
      </c:spPr>
    </c:title>
    <c:autoTitleDeleted val="0"/>
    <c:plotArea>
      <c:layout/>
      <c:pieChart>
        <c:varyColors val="1"/>
        <c:ser>
          <c:idx val="0"/>
          <c:order val="0"/>
          <c:tx>
            <c:strRef>
              <c:f>Sheet1!$B$1</c:f>
              <c:strCache>
                <c:ptCount val="1"/>
                <c:pt idx="0">
                  <c:v>2022年度西平镇主动公开政府信息</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Sheet1!$A$2:$A$4</c:f>
              <c:strCache>
                <c:ptCount val="3"/>
                <c:pt idx="0">
                  <c:v>政府网站发布工作动态</c:v>
                </c:pt>
                <c:pt idx="1">
                  <c:v>图文新闻</c:v>
                </c:pt>
                <c:pt idx="2">
                  <c:v>政务新媒体中微信公众号</c:v>
                </c:pt>
              </c:strCache>
            </c:strRef>
          </c:cat>
          <c:val>
            <c:numRef>
              <c:f>Sheet1!$B$2:$B$4</c:f>
              <c:numCache>
                <c:formatCode>General</c:formatCode>
                <c:ptCount val="3"/>
                <c:pt idx="0">
                  <c:v>20</c:v>
                </c:pt>
                <c:pt idx="1">
                  <c:v>20</c:v>
                </c:pt>
                <c:pt idx="2">
                  <c:v>37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2245</Words>
  <Characters>2356</Characters>
  <Lines>0</Lines>
  <Paragraphs>0</Paragraphs>
  <TotalTime>185</TotalTime>
  <ScaleCrop>false</ScaleCrop>
  <LinksUpToDate>false</LinksUpToDate>
  <CharactersWithSpaces>2356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2022-01-13T03:13:00Z</dcterms:created>
  <dc:creator>Administrator</dc:creator>
  <cp:lastModifiedBy>Administrator</cp:lastModifiedBy>
  <dcterms:modified xsi:type="dcterms:W3CDTF">2025-03-24T06:54:42Z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514FC72758DE4DDCAB96DCA5658C498F</vt:lpwstr>
  </property>
</Properties>
</file>