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微山县傅村街道办事处202</w:t>
      </w:r>
      <w:r>
        <w:rPr>
          <w:rFonts w:hint="eastAsia" w:ascii="Times New Roman" w:hAnsi="Times New Roman" w:eastAsia="方正小标宋简体" w:cs="Times New Roman"/>
          <w:b/>
          <w:bCs/>
          <w:i w:val="0"/>
          <w:iCs w:val="0"/>
          <w:caps w:val="0"/>
          <w:color w:val="000000"/>
          <w:spacing w:val="0"/>
          <w:sz w:val="44"/>
          <w:szCs w:val="44"/>
          <w:shd w:val="clear" w:fill="FFFFFF"/>
          <w:lang w:val="en-US" w:eastAsia="zh-CN"/>
        </w:rPr>
        <w:t>3</w:t>
      </w:r>
      <w:r>
        <w:rPr>
          <w:rFonts w:hint="default" w:ascii="Times New Roman" w:hAnsi="Times New Roman" w:eastAsia="方正小标宋简体" w:cs="Times New Roman"/>
          <w:b/>
          <w:bCs/>
          <w:i w:val="0"/>
          <w:iCs w:val="0"/>
          <w:caps w:val="0"/>
          <w:color w:val="000000"/>
          <w:spacing w:val="0"/>
          <w:sz w:val="44"/>
          <w:szCs w:val="44"/>
          <w:shd w:val="clear" w:fill="FFFFFF"/>
        </w:rPr>
        <w:t>年政府信息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公开工作年度报告</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微山县傅村街道办事处</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年1月1日起至202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傅村街道</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门户网站（http://www.weishan.gov.cn/col/col26934/index.html）查阅或下载。如对本报告有疑问，请与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微山县傅村街道办事处</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微山县傅村街道富源路1号</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8581002</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一、总体情况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年，在县委、县政府的正确领导下，</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我街道为保障公众知情权、参与权、表达权和监督权，增强政府公信力、执行力，提升政府治理能力，持续扩大政务公开范围。通过加强“五个公开”，拓展公开内容，加大公开频次，以公开促落实、以公开促规范、以公开促服务，从而达到各方利益的最大“公约数”，取得政务公开的良好成效。</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现报告如下：</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（一）主动公开情况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年1月1日至202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年12月31日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村街道办事处主动公开政府信息1</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04</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条，其中工作动态4</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条、通知公告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条、会议公开1条、乡镇文件</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条、集中采购1条、业务培训</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条、信息公开年报1条。政务新媒体中微信公众号共计发布2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85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lang w:val="en-US"/>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drawing>
          <wp:anchor distT="0" distB="0" distL="114300" distR="114300" simplePos="0" relativeHeight="251659264" behindDoc="0" locked="0" layoutInCell="1" allowOverlap="1">
            <wp:simplePos x="0" y="0"/>
            <wp:positionH relativeFrom="column">
              <wp:posOffset>240030</wp:posOffset>
            </wp:positionH>
            <wp:positionV relativeFrom="paragraph">
              <wp:posOffset>136525</wp:posOffset>
            </wp:positionV>
            <wp:extent cx="5256530" cy="2988310"/>
            <wp:effectExtent l="5080" t="4445" r="15240" b="171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p/>
    <w:p/>
    <w:p/>
    <w:p/>
    <w:p/>
    <w:p/>
    <w:p/>
    <w:p/>
    <w:p/>
    <w:p/>
    <w:p/>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（二）</w:t>
      </w: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依申请公开情况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傅村街道办事处受理依申请公开</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件</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已答复1件按时办结率100%。</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default" w:ascii="方正楷体简体" w:hAnsi="方正楷体简体" w:eastAsia="方正楷体简体" w:cs="方正楷体简体"/>
          <w:b/>
          <w:bCs/>
          <w:color w:val="000000" w:themeColor="text1"/>
          <w:sz w:val="32"/>
          <w:szCs w:val="32"/>
          <w:lang w:val="en-US" w:eastAsia="zh-CN"/>
          <w14:textFill>
            <w14:solidFill>
              <w14:schemeClr w14:val="tx1"/>
            </w14:solidFill>
          </w14:textFill>
        </w:rPr>
        <w:t>（三）政府信息管理情况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傅村街道办事处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实行</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政务公开领导机制。</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根据分工成立</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政务公开工作领导小组，负责街道政务公开工作</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整体谋划和日常推进</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。日常工作由政务公开办公室主要负责，</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完成</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政务公开的各项要求。领导</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统筹</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、机构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负责</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、人员</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实施</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一级带着一级干。</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同时，我街道把政务公开</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进行了相关部门的工作分解，责任到人，进一步压实了工作责任</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。建立健全政务公开责任、审议、评议、反馈、备案和监督等六项制度，</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保证了政务公开工作整体的推进质量。</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方正楷体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（四）</w:t>
      </w:r>
      <w:r>
        <w:rPr>
          <w:rFonts w:hint="eastAsia" w:ascii="Times New Roman" w:hAnsi="Times New Roman" w:eastAsia="方正楷体简体" w:cs="Times New Roman"/>
          <w:b/>
          <w:bCs/>
          <w:i w:val="0"/>
          <w:iCs w:val="0"/>
          <w:caps w:val="0"/>
          <w:color w:val="333333"/>
          <w:spacing w:val="0"/>
          <w:sz w:val="32"/>
          <w:szCs w:val="32"/>
          <w:shd w:val="clear" w:fill="FFFFFF"/>
          <w:lang w:val="en-US" w:eastAsia="zh-CN"/>
        </w:rPr>
        <w:t>政府信息公开平台建设</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傅村街道办事处政府信息公开网站首页</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由</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工作动态、通知公告、最新公开、走进傅村四个板块</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构成</w:t>
      </w:r>
      <w:bookmarkStart w:id="10" w:name="_GoBack"/>
      <w:bookmarkEnd w:id="10"/>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街道各项动态保持“月月更，及时更”，将街道近期开展的重点工作第一时间展现在公众眼前。</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针对公开项目的不同情况，确定公开时间，做到常规性工作定期公开，临时性工作随时公开，固定性工作长期公开。同时坚持把群众最关心的“权、钱、人、事”等事项公开作为政务公开的重点，从信息公开和便民服务两个方面入手，加大推行政务公开的力度。</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通过政务公开，真正</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让群众看得懂、听得懂、能监督、好参与。</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（五）</w:t>
      </w:r>
      <w:r>
        <w:rPr>
          <w:rFonts w:hint="eastAsia" w:ascii="Times New Roman" w:hAnsi="Times New Roman" w:eastAsia="方正楷体简体" w:cs="Times New Roman"/>
          <w:b/>
          <w:bCs/>
          <w:i w:val="0"/>
          <w:iCs w:val="0"/>
          <w:caps w:val="0"/>
          <w:color w:val="333333"/>
          <w:spacing w:val="0"/>
          <w:sz w:val="32"/>
          <w:szCs w:val="32"/>
          <w:shd w:val="clear" w:fill="FFFFFF"/>
          <w:lang w:val="en-US" w:eastAsia="zh-CN"/>
        </w:rPr>
        <w:t>监督保障情况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为进一步保障政务公开的透明度，扩大信息公开的影响。傅村街道办事处以《中华人民共和国政府信息公开条例》为依据，将政务公开工作纳入各部门和工作人员尤其是领导干部的廉政责任制和干部年度工作考核中，考核结果将作为干部任免和奖惩的重要依据。对公开不透明，只公开一般事项不公开重点事项或关键环节的违规违纪行为，坚决追究责任。另外街道政务公开领导小组充分发挥带头和监督作用，定期对政务公开工作进行检查考核，进行工作的问题查摆，督促及时整改，收集领导小组成员提出的意见建议，更好地开展政务公开工作。</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二、主动公开政府信息情况</w:t>
      </w:r>
    </w:p>
    <w:tbl>
      <w:tblPr>
        <w:tblStyle w:val="3"/>
        <w:tblW w:w="5000" w:type="pct"/>
        <w:tblInd w:w="0" w:type="dxa"/>
        <w:tblLayout w:type="autofit"/>
        <w:tblCellMar>
          <w:top w:w="0" w:type="dxa"/>
          <w:left w:w="108" w:type="dxa"/>
          <w:bottom w:w="0" w:type="dxa"/>
          <w:right w:w="108" w:type="dxa"/>
        </w:tblCellMar>
      </w:tblPr>
      <w:tblGrid>
        <w:gridCol w:w="2265"/>
        <w:gridCol w:w="2265"/>
        <w:gridCol w:w="2265"/>
        <w:gridCol w:w="2266"/>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黑体简体" w:cs="Times New Roman"/>
          <w:b/>
          <w:bCs/>
          <w:i w:val="0"/>
          <w:iCs w:val="0"/>
          <w:caps w:val="0"/>
          <w:color w:val="000000"/>
          <w:spacing w:val="0"/>
          <w:sz w:val="32"/>
          <w:szCs w:val="32"/>
          <w:shd w:val="clear" w:fill="FFFFFF"/>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方正黑体简体" w:cs="Times New Roman"/>
          <w:b/>
          <w:bCs/>
          <w:i w:val="0"/>
          <w:iCs w:val="0"/>
          <w:caps w:val="0"/>
          <w:color w:val="000000"/>
          <w:spacing w:val="0"/>
          <w:sz w:val="32"/>
          <w:szCs w:val="32"/>
          <w:shd w:val="clear" w:fill="FFFFFF"/>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r>
    </w:tbl>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五、</w:t>
      </w:r>
      <w:r>
        <w:rPr>
          <w:rFonts w:hint="default" w:ascii="Times New Roman" w:hAnsi="Times New Roman" w:eastAsia="黑体" w:cs="Times New Roman"/>
          <w:b/>
          <w:bCs/>
          <w:i w:val="0"/>
          <w:iCs w:val="0"/>
          <w:caps w:val="0"/>
          <w:color w:val="000000"/>
          <w:spacing w:val="0"/>
          <w:sz w:val="32"/>
          <w:szCs w:val="32"/>
          <w:shd w:val="clear" w:fill="FFFFFF"/>
        </w:rPr>
        <w:t>存在的主要问题及改进情况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一是公众参与政务公开工作的程度较低，双主体的政务信息公开工作机制还有待完善，街道群众对政务公开的普遍了解度还有待提高。二是管理方式不科学，过分依赖网上政务公开系统，工作人员管理不到位，导致群众办事难。下一步我们将加强相关宣传与有关人员培训，进一步提高信息工作人员的业务水平，更好地服务于社会。一是进一步提高业务公开能力和水平，自上而下压实传导政务公开工作责任，规范标准公开，提升信息公开质量。二是健全工作机制，优化信息管理、信息发布、解读回应、依申请公开、舆情研判、监督考核等工作流程，并建立完善相关制度，更好地开展政务公开工作。</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黑体" w:hAnsi="黑体" w:eastAsia="黑体" w:cs="黑体"/>
          <w:b/>
          <w:bCs/>
          <w:color w:val="000000" w:themeColor="text1"/>
          <w:kern w:val="2"/>
          <w:sz w:val="32"/>
          <w:szCs w:val="32"/>
          <w:lang w:val="en-US" w:eastAsia="zh-CN" w:bidi="ar-SA"/>
          <w14:textFill>
            <w14:solidFill>
              <w14:schemeClr w14:val="tx1"/>
            </w14:solidFill>
          </w14:textFill>
        </w:rPr>
      </w:pPr>
      <w:r>
        <w:rPr>
          <w:rFonts w:hint="default" w:ascii="黑体" w:hAnsi="黑体" w:eastAsia="黑体" w:cs="黑体"/>
          <w:b/>
          <w:bCs/>
          <w:color w:val="000000" w:themeColor="text1"/>
          <w:kern w:val="2"/>
          <w:sz w:val="32"/>
          <w:szCs w:val="32"/>
          <w:lang w:val="en-US" w:eastAsia="zh-CN" w:bidi="ar-SA"/>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（一）收取信息处理费情况。202</w:t>
      </w:r>
      <w:r>
        <w:rPr>
          <w:rFonts w:hint="eastAsia" w:ascii="Times New Roman" w:hAnsi="Times New Roman" w:eastAsia="方正楷体简体" w:cs="Times New Roman"/>
          <w:b/>
          <w:bCs/>
          <w:i w:val="0"/>
          <w:iCs w:val="0"/>
          <w:caps w:val="0"/>
          <w:color w:val="333333"/>
          <w:spacing w:val="0"/>
          <w:kern w:val="0"/>
          <w:sz w:val="32"/>
          <w:szCs w:val="32"/>
          <w:shd w:val="clear" w:fill="FFFFFF"/>
          <w:lang w:val="en-US" w:eastAsia="zh-CN" w:bidi="ar"/>
        </w:rPr>
        <w:t>3</w:t>
      </w: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年度，本单位没有产生信息公开处理费。</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（二）落实上年度政务公开工作要点情况</w:t>
      </w:r>
      <w:r>
        <w:rPr>
          <w:rFonts w:hint="eastAsia" w:ascii="Times New Roman" w:hAnsi="Times New Roman" w:eastAsia="方正楷体简体" w:cs="Times New Roman"/>
          <w:b/>
          <w:bCs/>
          <w:i w:val="0"/>
          <w:iCs w:val="0"/>
          <w:caps w:val="0"/>
          <w:color w:val="333333"/>
          <w:spacing w:val="0"/>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严格按照上年度政务公开工作要点，结合自身工作，认真做好政务公开工作，及时发布相关政策信息，确保政务公开工作成效。</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w:t>
      </w:r>
      <w:r>
        <w:rPr>
          <w:rFonts w:hint="eastAsia" w:ascii="Times New Roman" w:hAnsi="Times New Roman" w:eastAsia="方正楷体简体" w:cs="Times New Roman"/>
          <w:b/>
          <w:bCs/>
          <w:i w:val="0"/>
          <w:iCs w:val="0"/>
          <w:caps w:val="0"/>
          <w:color w:val="333333"/>
          <w:spacing w:val="0"/>
          <w:kern w:val="0"/>
          <w:sz w:val="32"/>
          <w:szCs w:val="32"/>
          <w:shd w:val="clear" w:fill="FFFFFF"/>
          <w:lang w:val="en-US" w:eastAsia="zh-CN" w:bidi="ar"/>
        </w:rPr>
        <w:t>三</w:t>
      </w: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）本行政机关人大代表建议和政协提案办理结果公开情况。</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202</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年，本单位共收到县十九届人大二次会议</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第192045号“关于微山县回迁小区环境和安全的建议的建议”、第192046号“关于县城外环路北移的议案的建议”、第192047号“关于在傅村街道建设临港产业基地的建议”，3条建议均在规定期限内办复完毕</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2023</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未收到</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政协提案</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信息。</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（四）本行政机关政府信息公开工作年度报告数据统计需要说明的事项。</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本报告所列数据的统计期限自202</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年1月1日起至202</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年12月31日止。</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（五）本行政机关年度政务公开工作创新情况。</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充分发挥互联网传播快、效率高、受众广的优势，利用微信群、政务公开网站、新媒体，加大信息公开力度，提高街道政务工作的透明度，切实保障群众对政府工作的知情权。</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（六）本行政机关认为需要报告的其他事项。</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无</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（七）其他有关文件专门要求通过政府信息公开工作年度报告予以报告。</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无</w:t>
      </w:r>
    </w:p>
    <w:p>
      <w:pPr>
        <w:pStyle w:val="2"/>
        <w:keepNext w:val="0"/>
        <w:keepLines w:val="0"/>
        <w:widowControl/>
        <w:suppressLineNumbers w:val="0"/>
        <w:shd w:val="clear" w:fill="FFFFFF"/>
        <w:wordWrap w:val="0"/>
        <w:spacing w:before="0" w:beforeAutospacing="0" w:after="0" w:afterAutospacing="0" w:line="420" w:lineRule="atLeast"/>
        <w:ind w:left="0" w:right="0" w:firstLine="645"/>
        <w:jc w:val="right"/>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 xml:space="preserve">微山县傅村街道办事处   </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i w:val="0"/>
          <w:iCs w:val="0"/>
          <w:caps w:val="0"/>
          <w:color w:val="000000"/>
          <w:spacing w:val="0"/>
          <w:sz w:val="32"/>
          <w:szCs w:val="32"/>
          <w:lang w:val="en-US" w:eastAsia="zh-CN"/>
        </w:rPr>
        <w:t xml:space="preserve">                        </w:t>
      </w:r>
      <w:r>
        <w:rPr>
          <w:rFonts w:hint="eastAsia" w:ascii="Times New Roman" w:hAnsi="Times New Roman" w:eastAsia="仿宋_GB2312" w:cs="Times New Roman"/>
          <w:b/>
          <w:bCs/>
          <w:i w:val="0"/>
          <w:iCs w:val="0"/>
          <w:caps w:val="0"/>
          <w:color w:val="000000"/>
          <w:spacing w:val="0"/>
          <w:sz w:val="32"/>
          <w:szCs w:val="32"/>
          <w:lang w:val="en-US" w:eastAsia="zh-CN"/>
        </w:rPr>
        <w:t xml:space="preserve">    </w:t>
      </w:r>
      <w:r>
        <w:rPr>
          <w:rFonts w:hint="default" w:ascii="Times New Roman" w:hAnsi="Times New Roman" w:eastAsia="仿宋_GB2312" w:cs="Times New Roman"/>
          <w:b/>
          <w:bCs/>
          <w:i w:val="0"/>
          <w:iCs w:val="0"/>
          <w:caps w:val="0"/>
          <w:color w:val="000000"/>
          <w:spacing w:val="0"/>
          <w:sz w:val="32"/>
          <w:szCs w:val="32"/>
          <w:lang w:val="en-US" w:eastAsia="zh-CN"/>
        </w:rPr>
        <w:t xml:space="preserve"> </w:t>
      </w:r>
      <w:r>
        <w:rPr>
          <w:rFonts w:hint="eastAsia" w:ascii="Times New Roman" w:hAnsi="Times New Roman" w:eastAsia="仿宋_GB2312" w:cs="Times New Roman"/>
          <w:b/>
          <w:bCs/>
          <w:i w:val="0"/>
          <w:iCs w:val="0"/>
          <w:caps w:val="0"/>
          <w:color w:val="000000"/>
          <w:spacing w:val="0"/>
          <w:sz w:val="32"/>
          <w:szCs w:val="32"/>
          <w:lang w:val="en-US" w:eastAsia="zh-CN"/>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bCs/>
          <w:i w:val="0"/>
          <w:iCs w:val="0"/>
          <w:caps w:val="0"/>
          <w:color w:val="000000"/>
          <w:spacing w:val="0"/>
          <w:sz w:val="32"/>
          <w:szCs w:val="32"/>
          <w:lang w:val="en-US" w:eastAsia="zh-CN"/>
        </w:rPr>
        <w:t>年</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i w:val="0"/>
          <w:iCs w:val="0"/>
          <w:caps w:val="0"/>
          <w:color w:val="000000"/>
          <w:spacing w:val="0"/>
          <w:sz w:val="32"/>
          <w:szCs w:val="32"/>
          <w:lang w:val="en-US" w:eastAsia="zh-CN"/>
        </w:rPr>
        <w:t>月</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bCs/>
          <w:i w:val="0"/>
          <w:iCs w:val="0"/>
          <w:caps w:val="0"/>
          <w:color w:val="000000"/>
          <w:spacing w:val="0"/>
          <w:sz w:val="32"/>
          <w:szCs w:val="32"/>
          <w:lang w:val="en-US" w:eastAsia="zh-CN"/>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jRhYTc5YTM3MzM0YmEyOTY1OTY4M2ZmYmY0Y2MifQ=="/>
  </w:docVars>
  <w:rsids>
    <w:rsidRoot w:val="21F2072A"/>
    <w:rsid w:val="019D7660"/>
    <w:rsid w:val="219E2334"/>
    <w:rsid w:val="21F2072A"/>
    <w:rsid w:val="23BD39B2"/>
    <w:rsid w:val="2465340C"/>
    <w:rsid w:val="302F2452"/>
    <w:rsid w:val="436F6C6A"/>
    <w:rsid w:val="4CC2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title>
    <c:autoTitleDeleted val="0"/>
    <c:plotArea>
      <c:layout/>
      <c:pieChart>
        <c:varyColors val="1"/>
        <c:ser>
          <c:idx val="0"/>
          <c:order val="0"/>
          <c:tx>
            <c:strRef>
              <c:f>Sheet1!$B$1</c:f>
              <c:strCache>
                <c:ptCount val="1"/>
                <c:pt idx="0">
                  <c:v>2023年度傅村街道办事处主动公开政府信息</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通知公告</c:v>
                </c:pt>
                <c:pt idx="1">
                  <c:v>工作动态</c:v>
                </c:pt>
                <c:pt idx="2">
                  <c:v>会议公开</c:v>
                </c:pt>
                <c:pt idx="3">
                  <c:v>乡镇文件</c:v>
                </c:pt>
                <c:pt idx="4">
                  <c:v>集中采购</c:v>
                </c:pt>
                <c:pt idx="5">
                  <c:v>业务培训</c:v>
                </c:pt>
                <c:pt idx="6">
                  <c:v>信息公开年报</c:v>
                </c:pt>
              </c:strCache>
            </c:strRef>
          </c:cat>
          <c:val>
            <c:numRef>
              <c:f>Sheet1!$B$2:$B$8</c:f>
              <c:numCache>
                <c:formatCode>General</c:formatCode>
                <c:ptCount val="7"/>
                <c:pt idx="0">
                  <c:v>52</c:v>
                </c:pt>
                <c:pt idx="1">
                  <c:v>45</c:v>
                </c:pt>
                <c:pt idx="2">
                  <c:v>1</c:v>
                </c:pt>
                <c:pt idx="3">
                  <c:v>2</c:v>
                </c:pt>
                <c:pt idx="4">
                  <c:v>1</c:v>
                </c:pt>
                <c:pt idx="5">
                  <c:v>2</c:v>
                </c:pt>
                <c:pt idx="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方正楷体简体" panose="03000509000000000000" charset="-122"/>
          <a:ea typeface="方正楷体简体" panose="03000509000000000000" charset="-122"/>
          <a:cs typeface="方正楷体简体" panose="03000509000000000000" charset="-122"/>
          <a:sym typeface="方正楷体简体" panose="03000509000000000000"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2989</Words>
  <Characters>3138</Characters>
  <Lines>0</Lines>
  <Paragraphs>0</Paragraphs>
  <TotalTime>13</TotalTime>
  <ScaleCrop>false</ScaleCrop>
  <LinksUpToDate>false</LinksUpToDate>
  <CharactersWithSpaces>3174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2024-01-24T07:02:00Z</dcterms:created>
  <dc:creator>诠释</dc:creator>
  <cp:lastModifiedBy>東方红雪</cp:lastModifiedBy>
  <dcterms:modified xsi:type="dcterms:W3CDTF">2024-01-29T08:08:05Z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890E74C2B0404C44944681D19582A952_11</vt:lpwstr>
  </property>
</Properties>
</file>