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65" w:lineRule="atLeast"/>
        <w:ind w:left="0" w:right="0" w:firstLine="510"/>
        <w:rPr>
          <w:rFonts w:ascii="仿宋" w:hAnsi="仿宋" w:eastAsia="仿宋" w:cs="仿宋"/>
          <w:i w:val="0"/>
          <w:iCs w:val="0"/>
          <w:caps w:val="0"/>
          <w:color w:val="333333"/>
          <w:spacing w:val="0"/>
          <w:sz w:val="31"/>
          <w:szCs w:val="31"/>
        </w:rPr>
      </w:pPr>
      <w:r>
        <w:rPr>
          <w:rFonts w:ascii="仿宋" w:hAnsi="仿宋" w:eastAsia="仿宋" w:cs="仿宋"/>
          <w:i w:val="0"/>
          <w:iCs w:val="0"/>
          <w:caps w:val="0"/>
          <w:color w:val="333333"/>
          <w:spacing w:val="0"/>
          <w:sz w:val="31"/>
          <w:szCs w:val="31"/>
        </w:rPr>
        <w:t>本报告由微山县赵庙镇按照《中华</w:t>
      </w:r>
      <w:bookmarkStart w:id="0" w:name="_GoBack"/>
      <w:bookmarkEnd w:id="0"/>
      <w:r>
        <w:rPr>
          <w:rFonts w:ascii="仿宋" w:hAnsi="仿宋" w:eastAsia="仿宋" w:cs="仿宋"/>
          <w:i w:val="0"/>
          <w:iCs w:val="0"/>
          <w:caps w:val="0"/>
          <w:color w:val="333333"/>
          <w:spacing w:val="0"/>
          <w:sz w:val="31"/>
          <w:szCs w:val="31"/>
        </w:rPr>
        <w:t>人民共和国政府信息公开条例》（以下简称《条例》）和《中华人民共和国政府信息公开工作年度报告格式》（国办公开办函〔</w:t>
      </w:r>
      <w:r>
        <w:rPr>
          <w:rFonts w:hint="default"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lang w:val="en-US" w:eastAsia="zh-CN"/>
        </w:rPr>
        <w:t>1</w:t>
      </w:r>
      <w:r>
        <w:rPr>
          <w:rFonts w:hint="eastAsia" w:ascii="仿宋" w:hAnsi="仿宋" w:eastAsia="仿宋" w:cs="仿宋"/>
          <w:i w:val="0"/>
          <w:iCs w:val="0"/>
          <w:caps w:val="0"/>
          <w:color w:val="333333"/>
          <w:spacing w:val="0"/>
          <w:sz w:val="31"/>
          <w:szCs w:val="31"/>
        </w:rPr>
        <w:t>〕</w:t>
      </w:r>
      <w:r>
        <w:rPr>
          <w:rFonts w:hint="default" w:ascii="仿宋" w:hAnsi="仿宋" w:eastAsia="仿宋" w:cs="仿宋"/>
          <w:i w:val="0"/>
          <w:iCs w:val="0"/>
          <w:caps w:val="0"/>
          <w:color w:val="333333"/>
          <w:spacing w:val="0"/>
          <w:sz w:val="31"/>
          <w:szCs w:val="31"/>
        </w:rPr>
        <w:t>30</w:t>
      </w:r>
      <w:r>
        <w:rPr>
          <w:rFonts w:hint="eastAsia" w:ascii="仿宋" w:hAnsi="仿宋" w:eastAsia="仿宋" w:cs="仿宋"/>
          <w:i w:val="0"/>
          <w:iCs w:val="0"/>
          <w:caps w:val="0"/>
          <w:color w:val="333333"/>
          <w:spacing w:val="0"/>
          <w:sz w:val="31"/>
          <w:szCs w:val="31"/>
        </w:rPr>
        <w:t>号）要求编制。</w:t>
      </w:r>
    </w:p>
    <w:p>
      <w:pPr>
        <w:pStyle w:val="2"/>
        <w:keepNext w:val="0"/>
        <w:keepLines w:val="0"/>
        <w:widowControl/>
        <w:suppressLineNumbers w:val="0"/>
        <w:spacing w:before="0" w:beforeAutospacing="0" w:after="0" w:afterAutospacing="0" w:line="465" w:lineRule="atLeast"/>
        <w:ind w:left="0" w:right="0" w:firstLine="510"/>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65" w:lineRule="atLeast"/>
        <w:ind w:left="0" w:right="0" w:firstLine="510"/>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本报告所列数据的统计期限自</w:t>
      </w:r>
      <w:r>
        <w:rPr>
          <w:rFonts w:hint="default" w:ascii="Times New Roman" w:hAnsi="Times New Roman" w:eastAsia="仿宋" w:cs="Times New Roman"/>
          <w:i w:val="0"/>
          <w:iCs w:val="0"/>
          <w:caps w:val="0"/>
          <w:color w:val="333333"/>
          <w:spacing w:val="0"/>
          <w:sz w:val="31"/>
          <w:szCs w:val="31"/>
        </w:rPr>
        <w:t>202</w:t>
      </w:r>
      <w:r>
        <w:rPr>
          <w:rFonts w:hint="default" w:ascii="Times New Roman" w:hAnsi="Times New Roman" w:eastAsia="仿宋" w:cs="Times New Roman"/>
          <w:i w:val="0"/>
          <w:iCs w:val="0"/>
          <w:caps w:val="0"/>
          <w:color w:val="333333"/>
          <w:spacing w:val="0"/>
          <w:sz w:val="31"/>
          <w:szCs w:val="31"/>
          <w:lang w:val="en-US" w:eastAsia="zh-CN"/>
        </w:rPr>
        <w:t>3</w:t>
      </w:r>
      <w:r>
        <w:rPr>
          <w:rFonts w:hint="default" w:ascii="Times New Roman" w:hAnsi="Times New Roman" w:eastAsia="仿宋" w:cs="Times New Roman"/>
          <w:i w:val="0"/>
          <w:iCs w:val="0"/>
          <w:caps w:val="0"/>
          <w:color w:val="333333"/>
          <w:spacing w:val="0"/>
          <w:sz w:val="31"/>
          <w:szCs w:val="31"/>
        </w:rPr>
        <w:t>年1月1日起至202</w:t>
      </w:r>
      <w:r>
        <w:rPr>
          <w:rFonts w:hint="default" w:ascii="Times New Roman" w:hAnsi="Times New Roman" w:eastAsia="仿宋" w:cs="Times New Roman"/>
          <w:i w:val="0"/>
          <w:iCs w:val="0"/>
          <w:caps w:val="0"/>
          <w:color w:val="333333"/>
          <w:spacing w:val="0"/>
          <w:sz w:val="31"/>
          <w:szCs w:val="31"/>
          <w:lang w:val="en-US" w:eastAsia="zh-CN"/>
        </w:rPr>
        <w:t>3</w:t>
      </w:r>
      <w:r>
        <w:rPr>
          <w:rFonts w:hint="default" w:ascii="Times New Roman" w:hAnsi="Times New Roman" w:eastAsia="仿宋" w:cs="Times New Roman"/>
          <w:i w:val="0"/>
          <w:iCs w:val="0"/>
          <w:caps w:val="0"/>
          <w:color w:val="333333"/>
          <w:spacing w:val="0"/>
          <w:sz w:val="31"/>
          <w:szCs w:val="31"/>
        </w:rPr>
        <w:t>年12月31日止。本报告电子版可在微山县人民政府门户网站（http://www.weishan.gov.cn/col/col26928/index.html）查阅或下载。如对本报告有疑问，请与微山县赵庙镇联系（地址：赵庙镇沿湖公路888号，联系电话：0537-8411001）。</w:t>
      </w:r>
    </w:p>
    <w:p>
      <w:pPr>
        <w:pStyle w:val="2"/>
        <w:keepNext w:val="0"/>
        <w:keepLines w:val="0"/>
        <w:widowControl/>
        <w:suppressLineNumbers w:val="0"/>
        <w:spacing w:before="0" w:beforeAutospacing="0" w:after="0" w:afterAutospacing="0" w:line="465" w:lineRule="atLeast"/>
        <w:ind w:left="0" w:right="0" w:firstLine="510"/>
        <w:rPr>
          <w:rFonts w:hint="default" w:ascii="sans-serif" w:hAnsi="sans-serif" w:eastAsia="sans-serif" w:cs="sans-serif"/>
          <w:i w:val="0"/>
          <w:iCs w:val="0"/>
          <w:caps w:val="0"/>
          <w:color w:val="000000"/>
          <w:spacing w:val="0"/>
          <w:sz w:val="24"/>
          <w:szCs w:val="24"/>
        </w:rPr>
      </w:pPr>
      <w:r>
        <w:rPr>
          <w:rFonts w:ascii="黑体" w:hAnsi="SimSun" w:eastAsia="黑体" w:cs="黑体"/>
          <w:i w:val="0"/>
          <w:iCs w:val="0"/>
          <w:caps w:val="0"/>
          <w:color w:val="333333"/>
          <w:spacing w:val="0"/>
          <w:sz w:val="31"/>
          <w:szCs w:val="31"/>
        </w:rPr>
        <w:t>一、总体情况</w:t>
      </w:r>
    </w:p>
    <w:p>
      <w:pPr>
        <w:pStyle w:val="2"/>
        <w:keepNext w:val="0"/>
        <w:keepLines w:val="0"/>
        <w:widowControl/>
        <w:suppressLineNumbers w:val="0"/>
        <w:spacing w:before="0" w:beforeAutospacing="0" w:after="0" w:afterAutospacing="0" w:line="465" w:lineRule="atLeast"/>
        <w:ind w:left="0" w:right="0" w:firstLine="510"/>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仿宋" w:cs="Times New Roman"/>
          <w:i w:val="0"/>
          <w:iCs w:val="0"/>
          <w:caps w:val="0"/>
          <w:color w:val="333333"/>
          <w:spacing w:val="0"/>
          <w:sz w:val="31"/>
          <w:szCs w:val="31"/>
        </w:rPr>
        <w:t>2023年，</w:t>
      </w:r>
      <w:r>
        <w:rPr>
          <w:rFonts w:hint="eastAsia" w:ascii="Times New Roman" w:hAnsi="Times New Roman" w:eastAsia="仿宋" w:cs="Times New Roman"/>
          <w:i w:val="0"/>
          <w:iCs w:val="0"/>
          <w:caps w:val="0"/>
          <w:color w:val="333333"/>
          <w:spacing w:val="0"/>
          <w:sz w:val="31"/>
          <w:szCs w:val="31"/>
          <w:lang w:val="en-US" w:eastAsia="zh-Hans"/>
        </w:rPr>
        <w:t>赵庙镇</w:t>
      </w:r>
      <w:r>
        <w:rPr>
          <w:rFonts w:hint="default" w:ascii="Times New Roman" w:hAnsi="Times New Roman" w:eastAsia="仿宋" w:cs="Times New Roman"/>
          <w:i w:val="0"/>
          <w:iCs w:val="0"/>
          <w:caps w:val="0"/>
          <w:color w:val="333333"/>
          <w:spacing w:val="0"/>
          <w:sz w:val="31"/>
          <w:szCs w:val="31"/>
        </w:rPr>
        <w:t>在县委、县政府的正确领导下，严格按照《中华人民共和国政府信息公开条例》有关工作要求，贯彻落实政务公开工作精神，全力推动各项工作任务落实到位。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firstLine="620" w:firstLineChars="200"/>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（一）主动公开情况</w:t>
      </w:r>
    </w:p>
    <w:p>
      <w:pPr>
        <w:pStyle w:val="2"/>
        <w:keepNext w:val="0"/>
        <w:keepLines w:val="0"/>
        <w:widowControl/>
        <w:suppressLineNumbers w:val="0"/>
        <w:spacing w:before="0" w:beforeAutospacing="0" w:after="0" w:afterAutospacing="0" w:line="465" w:lineRule="atLeast"/>
        <w:ind w:left="0" w:right="0" w:firstLine="510"/>
        <w:rPr>
          <w:rFonts w:hint="eastAsia" w:ascii="Times New Roman" w:hAnsi="Times New Roman" w:eastAsia="仿宋" w:cs="Times New Roman"/>
          <w:i w:val="0"/>
          <w:iCs w:val="0"/>
          <w:caps w:val="0"/>
          <w:color w:val="333333"/>
          <w:spacing w:val="0"/>
          <w:sz w:val="31"/>
          <w:szCs w:val="31"/>
          <w:lang w:eastAsia="zh-CN"/>
        </w:rPr>
      </w:pPr>
      <w:r>
        <w:rPr>
          <w:rFonts w:hint="default" w:ascii="Times New Roman" w:hAnsi="Times New Roman" w:eastAsia="仿宋" w:cs="Times New Roman"/>
          <w:i w:val="0"/>
          <w:iCs w:val="0"/>
          <w:caps w:val="0"/>
          <w:color w:val="333333"/>
          <w:spacing w:val="0"/>
          <w:sz w:val="31"/>
          <w:szCs w:val="31"/>
        </w:rPr>
        <w:t>202</w:t>
      </w:r>
      <w:r>
        <w:rPr>
          <w:rFonts w:hint="eastAsia" w:ascii="Times New Roman" w:hAnsi="Times New Roman" w:eastAsia="仿宋" w:cs="Times New Roman"/>
          <w:i w:val="0"/>
          <w:iCs w:val="0"/>
          <w:caps w:val="0"/>
          <w:color w:val="333333"/>
          <w:spacing w:val="0"/>
          <w:sz w:val="31"/>
          <w:szCs w:val="31"/>
          <w:lang w:val="en-US" w:eastAsia="zh-CN"/>
        </w:rPr>
        <w:t>3</w:t>
      </w:r>
      <w:r>
        <w:rPr>
          <w:rFonts w:hint="eastAsia" w:ascii="Times New Roman" w:hAnsi="Times New Roman" w:eastAsia="仿宋" w:cs="Times New Roman"/>
          <w:i w:val="0"/>
          <w:iCs w:val="0"/>
          <w:caps w:val="0"/>
          <w:color w:val="333333"/>
          <w:spacing w:val="0"/>
          <w:sz w:val="31"/>
          <w:szCs w:val="31"/>
        </w:rPr>
        <w:t>年，赵庙镇累计发布各类信息</w:t>
      </w:r>
      <w:r>
        <w:rPr>
          <w:rFonts w:hint="eastAsia" w:ascii="Times New Roman" w:hAnsi="Times New Roman" w:eastAsia="仿宋" w:cs="Times New Roman"/>
          <w:i w:val="0"/>
          <w:iCs w:val="0"/>
          <w:caps w:val="0"/>
          <w:color w:val="333333"/>
          <w:spacing w:val="0"/>
          <w:sz w:val="31"/>
          <w:szCs w:val="31"/>
          <w:lang w:val="en-US" w:eastAsia="zh-CN"/>
        </w:rPr>
        <w:t>110</w:t>
      </w:r>
      <w:r>
        <w:rPr>
          <w:rFonts w:hint="eastAsia" w:ascii="Times New Roman" w:hAnsi="Times New Roman" w:eastAsia="仿宋" w:cs="Times New Roman"/>
          <w:i w:val="0"/>
          <w:iCs w:val="0"/>
          <w:caps w:val="0"/>
          <w:color w:val="333333"/>
          <w:spacing w:val="0"/>
          <w:sz w:val="31"/>
          <w:szCs w:val="31"/>
        </w:rPr>
        <w:t>条，包括乡镇重要政策及解读、工作进展、会议公开、建议提案办理答复情况等</w:t>
      </w:r>
      <w:r>
        <w:rPr>
          <w:rFonts w:hint="eastAsia" w:ascii="Times New Roman" w:hAnsi="Times New Roman" w:eastAsia="仿宋" w:cs="Times New Roman"/>
          <w:i w:val="0"/>
          <w:iCs w:val="0"/>
          <w:caps w:val="0"/>
          <w:color w:val="333333"/>
          <w:spacing w:val="0"/>
          <w:sz w:val="31"/>
          <w:szCs w:val="31"/>
          <w:lang w:eastAsia="zh-CN"/>
        </w:rPr>
        <w:t>。</w:t>
      </w:r>
    </w:p>
    <w:p>
      <w:pPr>
        <w:pStyle w:val="2"/>
        <w:keepNext w:val="0"/>
        <w:keepLines w:val="0"/>
        <w:widowControl/>
        <w:suppressLineNumbers w:val="0"/>
        <w:spacing w:before="0" w:beforeAutospacing="0" w:after="0" w:afterAutospacing="0" w:line="465" w:lineRule="atLeast"/>
        <w:ind w:right="0"/>
        <w:jc w:val="both"/>
        <w:rPr>
          <w:rFonts w:hint="default" w:ascii="sans-serif" w:hAnsi="sans-serif" w:eastAsia="sans-serif" w:cs="sans-serif"/>
          <w:i w:val="0"/>
          <w:iCs w:val="0"/>
          <w:caps w:val="0"/>
          <w:color w:val="000000"/>
          <w:spacing w:val="0"/>
          <w:sz w:val="24"/>
          <w:szCs w:val="24"/>
        </w:rPr>
      </w:pPr>
      <w:r>
        <w:rPr>
          <w:rFonts w:hint="eastAsia" w:ascii="方正仿宋简体" w:hAnsi="方正仿宋简体" w:eastAsia="方正仿宋简体" w:cs="方正仿宋简体"/>
          <w:i w:val="0"/>
          <w:iCs w:val="0"/>
          <w:caps w:val="0"/>
          <w:color w:val="auto"/>
          <w:spacing w:val="0"/>
          <w:sz w:val="25"/>
          <w:szCs w:val="25"/>
          <w:u w:val="none"/>
        </w:rPr>
        <w:drawing>
          <wp:inline distT="0" distB="0" distL="114300" distR="114300">
            <wp:extent cx="5408930" cy="3034665"/>
            <wp:effectExtent l="0" t="0" r="1270" b="13335"/>
            <wp:docPr id="1" name="图片 1" descr="C:/Users/Administrator/Desktop/111111.png1111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11111.png111111"/>
                    <pic:cNvPicPr>
                      <a:picLocks noChangeAspect="1"/>
                    </pic:cNvPicPr>
                  </pic:nvPicPr>
                  <pic:blipFill>
                    <a:blip r:embed="rId5"/>
                    <a:srcRect l="3181" r="3181"/>
                    <a:stretch>
                      <a:fillRect/>
                    </a:stretch>
                  </pic:blipFill>
                  <pic:spPr>
                    <a:xfrm>
                      <a:off x="0" y="0"/>
                      <a:ext cx="5408930" cy="303466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rPr>
        <w:t>202</w:t>
      </w:r>
      <w:r>
        <w:rPr>
          <w:rFonts w:hint="default" w:ascii="Times New Roman" w:hAnsi="Times New Roman" w:eastAsia="仿宋" w:cs="Times New Roman"/>
          <w:i w:val="0"/>
          <w:iCs w:val="0"/>
          <w:caps w:val="0"/>
          <w:color w:val="333333"/>
          <w:spacing w:val="0"/>
          <w:sz w:val="31"/>
          <w:szCs w:val="31"/>
        </w:rPr>
        <w:t>3</w:t>
      </w:r>
      <w:r>
        <w:rPr>
          <w:rFonts w:hint="eastAsia" w:ascii="仿宋" w:hAnsi="仿宋" w:eastAsia="仿宋" w:cs="仿宋"/>
          <w:i w:val="0"/>
          <w:iCs w:val="0"/>
          <w:caps w:val="0"/>
          <w:color w:val="333333"/>
          <w:spacing w:val="0"/>
          <w:sz w:val="31"/>
          <w:szCs w:val="31"/>
        </w:rPr>
        <w:t>年度，</w:t>
      </w:r>
      <w:r>
        <w:rPr>
          <w:rFonts w:hint="eastAsia" w:ascii="仿宋" w:hAnsi="仿宋" w:eastAsia="仿宋" w:cs="仿宋"/>
          <w:i w:val="0"/>
          <w:iCs w:val="0"/>
          <w:caps w:val="0"/>
          <w:color w:val="333333"/>
          <w:spacing w:val="0"/>
          <w:sz w:val="31"/>
          <w:szCs w:val="31"/>
          <w:lang w:eastAsia="zh-CN"/>
        </w:rPr>
        <w:t>赵庙镇</w:t>
      </w:r>
      <w:r>
        <w:rPr>
          <w:rFonts w:hint="eastAsia" w:ascii="仿宋" w:hAnsi="仿宋" w:eastAsia="仿宋" w:cs="仿宋"/>
          <w:i w:val="0"/>
          <w:iCs w:val="0"/>
          <w:caps w:val="0"/>
          <w:color w:val="333333"/>
          <w:spacing w:val="0"/>
          <w:sz w:val="31"/>
          <w:szCs w:val="31"/>
        </w:rPr>
        <w:t>人民政府未收到信息公开申请。未收取政府信息公开信息处理费。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rPr>
        <w:t>我镇高度重视政府信息公开工作，严格按照《条例》的有关要求，成立领导小组，明确了信息公开制度，压实了政务信息公开工作人员工作职责，明确了政府信息公开的工作内容、形式和公开、受理、回复的反馈机制。严格遵循政府信息公开基本原则开展信息公开工作，做到“依法公开，真实公正，注重实效，有利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eastAsia"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立足集约共享、高效便民，强化信息发布和办事服务功能，着力打造高效惠民的服务型政府网站，全面推进政府门户网站升级改版。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rPr>
        <w:t>根据县政府目标管理考核工作规定，严格</w:t>
      </w:r>
      <w:r>
        <w:rPr>
          <w:rFonts w:hint="default" w:ascii="Times New Roman" w:hAnsi="Times New Roman" w:eastAsia="sans-serif" w:cs="Times New Roman"/>
          <w:i w:val="0"/>
          <w:iCs w:val="0"/>
          <w:caps w:val="0"/>
          <w:color w:val="333333"/>
          <w:spacing w:val="0"/>
          <w:sz w:val="31"/>
          <w:szCs w:val="31"/>
        </w:rPr>
        <w:t>202</w:t>
      </w:r>
      <w:r>
        <w:rPr>
          <w:rFonts w:hint="default" w:ascii="Times New Roman" w:hAnsi="Times New Roman" w:eastAsia="Microsoft YaHei" w:cs="Times New Roman"/>
          <w:i w:val="0"/>
          <w:iCs w:val="0"/>
          <w:caps w:val="0"/>
          <w:color w:val="333333"/>
          <w:spacing w:val="0"/>
          <w:sz w:val="31"/>
          <w:szCs w:val="31"/>
        </w:rPr>
        <w:t>3</w:t>
      </w:r>
      <w:r>
        <w:rPr>
          <w:rFonts w:hint="eastAsia" w:ascii="仿宋" w:hAnsi="仿宋" w:eastAsia="仿宋" w:cs="仿宋"/>
          <w:i w:val="0"/>
          <w:iCs w:val="0"/>
          <w:caps w:val="0"/>
          <w:color w:val="333333"/>
          <w:spacing w:val="0"/>
          <w:sz w:val="31"/>
          <w:szCs w:val="31"/>
        </w:rPr>
        <w:t>年政府信息公开考核工作，通过上级部门反馈、自查自纠等方式，对发现问题及时整改；加强政府信息公开培训工作，按照上级要求，设立政务公开领导小组，确保组织有力，专人负责，组织学习《条例》要求，不断提高工作人员能力，推进我镇政务公开工作。</w:t>
      </w:r>
    </w:p>
    <w:p>
      <w:pPr>
        <w:pStyle w:val="2"/>
        <w:keepNext w:val="0"/>
        <w:keepLines w:val="0"/>
        <w:widowControl/>
        <w:suppressLineNumbers w:val="0"/>
        <w:spacing w:before="0" w:beforeAutospacing="0" w:after="0" w:afterAutospacing="0" w:line="465" w:lineRule="atLeast"/>
        <w:ind w:left="0" w:right="0" w:firstLine="510"/>
        <w:rPr>
          <w:rFonts w:hint="default" w:ascii="黑体" w:hAnsi="SimSun" w:eastAsia="黑体" w:cs="黑体"/>
          <w:i w:val="0"/>
          <w:iCs w:val="0"/>
          <w:caps w:val="0"/>
          <w:color w:val="333333"/>
          <w:spacing w:val="0"/>
          <w:sz w:val="31"/>
          <w:szCs w:val="31"/>
        </w:rPr>
      </w:pPr>
      <w:r>
        <w:rPr>
          <w:rFonts w:hint="default" w:ascii="黑体" w:hAnsi="SimSun" w:eastAsia="黑体" w:cs="黑体"/>
          <w:i w:val="0"/>
          <w:iCs w:val="0"/>
          <w:caps w:val="0"/>
          <w:color w:val="333333"/>
          <w:spacing w:val="0"/>
          <w:sz w:val="31"/>
          <w:szCs w:val="31"/>
        </w:rPr>
        <w:t>二、主动公开政府信息情况</w:t>
      </w:r>
    </w:p>
    <w:tbl>
      <w:tblPr>
        <w:tblStyle w:val="3"/>
        <w:tblW w:w="70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50"/>
        <w:gridCol w:w="1710"/>
        <w:gridCol w:w="1770"/>
        <w:gridCol w:w="15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70" w:hRule="atLeast"/>
          <w:jc w:val="center"/>
        </w:trPr>
        <w:tc>
          <w:tcPr>
            <w:tcW w:w="70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ascii="Microsoft YaHei" w:hAnsi="Microsoft YaHei" w:eastAsia="Microsoft YaHei" w:cs="Microsoft YaHei"/>
                <w:sz w:val="19"/>
                <w:szCs w:val="19"/>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信息内容</w:t>
            </w:r>
          </w:p>
        </w:tc>
        <w:tc>
          <w:tcPr>
            <w:tcW w:w="1710" w:type="dxa"/>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本年制发件数</w:t>
            </w:r>
          </w:p>
        </w:tc>
        <w:tc>
          <w:tcPr>
            <w:tcW w:w="1770" w:type="dxa"/>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本年废止件数</w:t>
            </w:r>
          </w:p>
        </w:tc>
        <w:tc>
          <w:tcPr>
            <w:tcW w:w="1590" w:type="dxa"/>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规章</w:t>
            </w:r>
          </w:p>
        </w:tc>
        <w:tc>
          <w:tcPr>
            <w:tcW w:w="171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c>
          <w:tcPr>
            <w:tcW w:w="177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c>
          <w:tcPr>
            <w:tcW w:w="159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行政规范性文件</w:t>
            </w:r>
          </w:p>
        </w:tc>
        <w:tc>
          <w:tcPr>
            <w:tcW w:w="171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c>
          <w:tcPr>
            <w:tcW w:w="177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c>
          <w:tcPr>
            <w:tcW w:w="1590" w:type="dxa"/>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7020" w:type="dxa"/>
            <w:gridSpan w:val="4"/>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9"/>
                <w:szCs w:val="19"/>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行政许可</w:t>
            </w:r>
          </w:p>
        </w:tc>
        <w:tc>
          <w:tcPr>
            <w:tcW w:w="5070" w:type="dxa"/>
            <w:gridSpan w:val="3"/>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7020" w:type="dxa"/>
            <w:gridSpan w:val="4"/>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9"/>
                <w:szCs w:val="19"/>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行政处罚</w:t>
            </w:r>
          </w:p>
        </w:tc>
        <w:tc>
          <w:tcPr>
            <w:tcW w:w="5070" w:type="dxa"/>
            <w:gridSpan w:val="3"/>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行政强制</w:t>
            </w:r>
          </w:p>
        </w:tc>
        <w:tc>
          <w:tcPr>
            <w:tcW w:w="5070" w:type="dxa"/>
            <w:gridSpan w:val="3"/>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7020" w:type="dxa"/>
            <w:gridSpan w:val="4"/>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9"/>
                <w:szCs w:val="19"/>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1950" w:type="dxa"/>
            <w:tcBorders>
              <w:top w:val="nil"/>
              <w:left w:val="single" w:color="auto" w:sz="6" w:space="0"/>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方正仿宋简体" w:hAnsi="方正仿宋简体" w:eastAsia="方正仿宋简体" w:cs="方正仿宋简体"/>
                <w:sz w:val="19"/>
                <w:szCs w:val="19"/>
              </w:rPr>
              <w:t>行政事业性收费</w:t>
            </w:r>
          </w:p>
        </w:tc>
        <w:tc>
          <w:tcPr>
            <w:tcW w:w="5070" w:type="dxa"/>
            <w:gridSpan w:val="3"/>
            <w:tcBorders>
              <w:top w:val="nil"/>
              <w:left w:val="nil"/>
              <w:bottom w:val="single" w:color="auto" w:sz="6" w:space="0"/>
              <w:right w:val="single" w:color="auto" w:sz="6" w:space="0"/>
            </w:tcBorders>
            <w:shd w:val="clear" w:color="auto" w:fill="FFFFFF"/>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方正仿宋简体" w:hAnsi="方正仿宋简体" w:eastAsia="方正仿宋简体" w:cs="方正仿宋简体"/>
                <w:sz w:val="19"/>
                <w:szCs w:val="19"/>
              </w:rPr>
              <w:t>0</w:t>
            </w:r>
          </w:p>
        </w:tc>
      </w:tr>
    </w:tbl>
    <w:p>
      <w:pPr>
        <w:pStyle w:val="2"/>
        <w:keepNext w:val="0"/>
        <w:keepLines w:val="0"/>
        <w:widowControl/>
        <w:suppressLineNumbers w:val="0"/>
        <w:spacing w:before="0" w:beforeAutospacing="0" w:after="0" w:afterAutospacing="0" w:line="465" w:lineRule="atLeast"/>
        <w:ind w:left="0" w:right="0" w:firstLine="510"/>
        <w:rPr>
          <w:rFonts w:hint="default" w:ascii="黑体" w:hAnsi="SimSun" w:eastAsia="黑体" w:cs="黑体"/>
          <w:i w:val="0"/>
          <w:iCs w:val="0"/>
          <w:caps w:val="0"/>
          <w:color w:val="333333"/>
          <w:spacing w:val="0"/>
          <w:sz w:val="31"/>
          <w:szCs w:val="31"/>
        </w:rPr>
      </w:pPr>
      <w:r>
        <w:rPr>
          <w:rFonts w:hint="default" w:ascii="黑体" w:hAnsi="SimSun" w:eastAsia="黑体" w:cs="黑体"/>
          <w:i w:val="0"/>
          <w:iCs w:val="0"/>
          <w:caps w:val="0"/>
          <w:color w:val="333333"/>
          <w:spacing w:val="0"/>
          <w:sz w:val="31"/>
          <w:szCs w:val="31"/>
        </w:rPr>
        <w:t>三、收到和处理政府信息公开申请情况</w:t>
      </w:r>
    </w:p>
    <w:tbl>
      <w:tblPr>
        <w:tblStyle w:val="3"/>
        <w:tblW w:w="70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749"/>
        <w:gridCol w:w="2303"/>
        <w:gridCol w:w="629"/>
        <w:gridCol w:w="479"/>
        <w:gridCol w:w="464"/>
        <w:gridCol w:w="479"/>
        <w:gridCol w:w="449"/>
        <w:gridCol w:w="449"/>
        <w:gridCol w:w="435"/>
      </w:tblGrid>
      <w:tr>
        <w:tblPrEx>
          <w:shd w:val="clear" w:color="auto" w:fill="auto"/>
        </w:tblPrEx>
        <w:trPr>
          <w:jc w:val="center"/>
        </w:trPr>
        <w:tc>
          <w:tcPr>
            <w:tcW w:w="367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（本列数据的勾稽关系为：第一项加第二项之和，等于第三项加第四项之和）</w:t>
            </w:r>
          </w:p>
        </w:tc>
        <w:tc>
          <w:tcPr>
            <w:tcW w:w="3390" w:type="dxa"/>
            <w:gridSpan w:val="7"/>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67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630" w:type="dxa"/>
            <w:vMerge w:val="restart"/>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自然人</w:t>
            </w:r>
          </w:p>
        </w:tc>
        <w:tc>
          <w:tcPr>
            <w:tcW w:w="2325" w:type="dxa"/>
            <w:gridSpan w:val="5"/>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法人或其他组织</w:t>
            </w:r>
          </w:p>
        </w:tc>
        <w:tc>
          <w:tcPr>
            <w:tcW w:w="420" w:type="dxa"/>
            <w:vMerge w:val="restart"/>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67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63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企业</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机构</w:t>
            </w:r>
          </w:p>
        </w:tc>
        <w:tc>
          <w:tcPr>
            <w:tcW w:w="480"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社会公益组织</w:t>
            </w:r>
          </w:p>
        </w:tc>
        <w:tc>
          <w:tcPr>
            <w:tcW w:w="450"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法律服务机构</w:t>
            </w:r>
          </w:p>
        </w:tc>
        <w:tc>
          <w:tcPr>
            <w:tcW w:w="450"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Microsoft YaHei" w:hAnsi="Microsoft YaHei" w:eastAsia="Microsoft YaHei" w:cs="Microsoft YaHei"/>
                <w:sz w:val="16"/>
                <w:szCs w:val="16"/>
              </w:rPr>
              <w:t>其他</w:t>
            </w:r>
          </w:p>
        </w:tc>
        <w:tc>
          <w:tcPr>
            <w:tcW w:w="420" w:type="dxa"/>
            <w:vMerge w:val="continue"/>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30" w:hRule="atLeast"/>
          <w:jc w:val="center"/>
        </w:trPr>
        <w:tc>
          <w:tcPr>
            <w:tcW w:w="3675" w:type="dxa"/>
            <w:gridSpan w:val="3"/>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一、本年新收政府信息公开申请数量</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315" w:hRule="atLeast"/>
          <w:jc w:val="center"/>
        </w:trPr>
        <w:tc>
          <w:tcPr>
            <w:tcW w:w="3675" w:type="dxa"/>
            <w:gridSpan w:val="3"/>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二、上年结转政府信息公开申请数量</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三、本年度办理结果</w:t>
            </w:r>
          </w:p>
        </w:tc>
        <w:tc>
          <w:tcPr>
            <w:tcW w:w="3060" w:type="dxa"/>
            <w:gridSpan w:val="2"/>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（一）予以公开</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3060" w:type="dxa"/>
            <w:gridSpan w:val="2"/>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（二）部分公开（区分处理的，只计这一情形，不计其他情形）</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restart"/>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（三）不予公开</w:t>
            </w: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1.属于国家秘密</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2.其他法律行政法规禁止公开</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3.危及“三安全一稳定”</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4.保护第三方合法权益</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5.属于三类内部事务信息</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6.属于四类过程性信息</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7.属于行政执法案卷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8.属于行政查询事项</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restart"/>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（四）无法提供</w:t>
            </w: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1.本机关不掌握相关政府信息</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2.没有现成信息需要另行制作</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27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3.补正后申请内容仍不明确</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keepNext w:val="0"/>
              <w:keepLines w:val="0"/>
              <w:widowControl/>
              <w:suppressLineNumbers w:val="0"/>
              <w:jc w:val="left"/>
            </w:pPr>
          </w:p>
        </w:tc>
        <w:tc>
          <w:tcPr>
            <w:tcW w:w="750" w:type="dxa"/>
            <w:vMerge w:val="restart"/>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（五）不予处理</w:t>
            </w: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1.信访举报投诉类申请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2.重复申请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3.要求提供公开出版物</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4.无正当理由大量反复申请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30" w:hRule="atLeast"/>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5.要求行政机关确认或重新出具已获取信息</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restart"/>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（六）其他处理</w:t>
            </w: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1.申请人无正当理由逾期不补正、行政机关不再处理其政府信息公开申请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2.申请人逾期未按收费通知要求缴纳费用、行政机关不再处理其政府信息公开申请</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750" w:type="dxa"/>
            <w:vMerge w:val="continue"/>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231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3.其他</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rPr>
                <w:rFonts w:hint="eastAsia" w:ascii="SimSun"/>
                <w:sz w:val="24"/>
                <w:szCs w:val="24"/>
              </w:rPr>
            </w:pPr>
          </w:p>
        </w:tc>
        <w:tc>
          <w:tcPr>
            <w:tcW w:w="3060" w:type="dxa"/>
            <w:gridSpan w:val="2"/>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（七）总计</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lang w:eastAsia="zh-CN"/>
              </w:rPr>
            </w:pPr>
            <w:r>
              <w:rPr>
                <w:rFonts w:hint="eastAsia" w:ascii="方正仿宋简体" w:hAnsi="方正仿宋简体" w:eastAsia="方正仿宋简体" w:cs="方正仿宋简体"/>
                <w:sz w:val="16"/>
                <w:szCs w:val="16"/>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675" w:type="dxa"/>
            <w:gridSpan w:val="3"/>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方正仿宋简体" w:hAnsi="方正仿宋简体" w:eastAsia="方正仿宋简体" w:cs="方正仿宋简体"/>
                <w:sz w:val="16"/>
                <w:szCs w:val="16"/>
              </w:rPr>
              <w:t>四、结转下年度继续办理</w:t>
            </w:r>
          </w:p>
        </w:tc>
        <w:tc>
          <w:tcPr>
            <w:tcW w:w="63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20"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bl>
    <w:p>
      <w:pPr>
        <w:pStyle w:val="2"/>
        <w:keepNext w:val="0"/>
        <w:keepLines w:val="0"/>
        <w:widowControl/>
        <w:suppressLineNumbers w:val="0"/>
        <w:spacing w:before="0" w:beforeAutospacing="0" w:after="0" w:afterAutospacing="0" w:line="465" w:lineRule="atLeast"/>
        <w:ind w:left="0" w:right="0" w:firstLine="510"/>
        <w:rPr>
          <w:rFonts w:hint="default" w:ascii="黑体" w:hAnsi="SimSun" w:eastAsia="黑体" w:cs="黑体"/>
          <w:i w:val="0"/>
          <w:iCs w:val="0"/>
          <w:caps w:val="0"/>
          <w:color w:val="333333"/>
          <w:spacing w:val="0"/>
          <w:sz w:val="31"/>
          <w:szCs w:val="31"/>
        </w:rPr>
      </w:pPr>
      <w:r>
        <w:rPr>
          <w:rFonts w:hint="default" w:ascii="黑体" w:hAnsi="SimSun" w:eastAsia="黑体" w:cs="黑体"/>
          <w:i w:val="0"/>
          <w:iCs w:val="0"/>
          <w:caps w:val="0"/>
          <w:color w:val="333333"/>
          <w:spacing w:val="0"/>
          <w:sz w:val="31"/>
          <w:szCs w:val="31"/>
        </w:rPr>
        <w:t>四、政府信息公开行政复议、行政诉讼情况</w:t>
      </w:r>
    </w:p>
    <w:tbl>
      <w:tblPr>
        <w:tblStyle w:val="3"/>
        <w:tblW w:w="70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5"/>
        <w:gridCol w:w="495"/>
        <w:gridCol w:w="480"/>
        <w:gridCol w:w="465"/>
        <w:gridCol w:w="375"/>
        <w:gridCol w:w="510"/>
        <w:gridCol w:w="510"/>
        <w:gridCol w:w="510"/>
        <w:gridCol w:w="510"/>
        <w:gridCol w:w="375"/>
        <w:gridCol w:w="510"/>
        <w:gridCol w:w="510"/>
        <w:gridCol w:w="510"/>
        <w:gridCol w:w="450"/>
        <w:gridCol w:w="3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3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行政复议</w:t>
            </w:r>
          </w:p>
        </w:tc>
        <w:tc>
          <w:tcPr>
            <w:tcW w:w="4740" w:type="dxa"/>
            <w:gridSpan w:val="10"/>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5" w:type="dxa"/>
            <w:vMerge w:val="restart"/>
            <w:tcBorders>
              <w:top w:val="nil"/>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结果维持</w:t>
            </w:r>
          </w:p>
        </w:tc>
        <w:tc>
          <w:tcPr>
            <w:tcW w:w="495" w:type="dxa"/>
            <w:vMerge w:val="restart"/>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纠正</w:t>
            </w:r>
          </w:p>
        </w:tc>
        <w:tc>
          <w:tcPr>
            <w:tcW w:w="480" w:type="dxa"/>
            <w:vMerge w:val="restart"/>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审结</w:t>
            </w:r>
          </w:p>
        </w:tc>
        <w:tc>
          <w:tcPr>
            <w:tcW w:w="375" w:type="dxa"/>
            <w:vMerge w:val="restart"/>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总计</w:t>
            </w:r>
          </w:p>
        </w:tc>
        <w:tc>
          <w:tcPr>
            <w:tcW w:w="2415" w:type="dxa"/>
            <w:gridSpan w:val="5"/>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未经复议直接起诉</w:t>
            </w:r>
          </w:p>
        </w:tc>
        <w:tc>
          <w:tcPr>
            <w:tcW w:w="2325" w:type="dxa"/>
            <w:gridSpan w:val="5"/>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5" w:type="dxa"/>
            <w:vMerge w:val="continue"/>
            <w:tcBorders>
              <w:top w:val="nil"/>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495" w:type="dxa"/>
            <w:vMerge w:val="continue"/>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480" w:type="dxa"/>
            <w:vMerge w:val="continue"/>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375" w:type="dxa"/>
            <w:vMerge w:val="continue"/>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SimSun"/>
                <w:sz w:val="24"/>
                <w:szCs w:val="24"/>
              </w:rPr>
            </w:pP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维持</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纠正</w:t>
            </w:r>
          </w:p>
        </w:tc>
        <w:tc>
          <w:tcPr>
            <w:tcW w:w="51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tc>
        <w:tc>
          <w:tcPr>
            <w:tcW w:w="51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审结</w:t>
            </w:r>
          </w:p>
        </w:tc>
        <w:tc>
          <w:tcPr>
            <w:tcW w:w="33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总计</w:t>
            </w:r>
          </w:p>
        </w:tc>
        <w:tc>
          <w:tcPr>
            <w:tcW w:w="51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维持</w:t>
            </w:r>
          </w:p>
        </w:tc>
        <w:tc>
          <w:tcPr>
            <w:tcW w:w="51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纠正</w:t>
            </w:r>
          </w:p>
        </w:tc>
        <w:tc>
          <w:tcPr>
            <w:tcW w:w="51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结果</w:t>
            </w:r>
          </w:p>
        </w:tc>
        <w:tc>
          <w:tcPr>
            <w:tcW w:w="45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审结</w:t>
            </w:r>
          </w:p>
        </w:tc>
        <w:tc>
          <w:tcPr>
            <w:tcW w:w="330" w:type="dxa"/>
            <w:tcBorders>
              <w:top w:val="single" w:color="auto" w:sz="6" w:space="0"/>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Microsoft YaHei" w:hAnsi="Microsoft YaHei" w:eastAsia="Microsoft YaHei" w:cs="Microsoft YaHei"/>
                <w:sz w:val="16"/>
                <w:szCs w:val="16"/>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40" w:hRule="atLeast"/>
          <w:jc w:val="center"/>
        </w:trPr>
        <w:tc>
          <w:tcPr>
            <w:tcW w:w="495" w:type="dxa"/>
            <w:tcBorders>
              <w:top w:val="nil"/>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95"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8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65"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375"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33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51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45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c>
          <w:tcPr>
            <w:tcW w:w="330" w:type="dxa"/>
            <w:tcBorders>
              <w:top w:val="nil"/>
              <w:left w:val="nil"/>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方正仿宋简体" w:hAnsi="方正仿宋简体" w:eastAsia="方正仿宋简体" w:cs="方正仿宋简体"/>
                <w:sz w:val="16"/>
                <w:szCs w:val="16"/>
              </w:rPr>
              <w:t>0</w:t>
            </w:r>
          </w:p>
        </w:tc>
      </w:tr>
    </w:tbl>
    <w:p>
      <w:pPr>
        <w:pStyle w:val="2"/>
        <w:keepNext w:val="0"/>
        <w:keepLines w:val="0"/>
        <w:widowControl/>
        <w:suppressLineNumbers w:val="0"/>
        <w:spacing w:before="0" w:beforeAutospacing="0" w:after="0" w:afterAutospacing="0" w:line="465" w:lineRule="atLeast"/>
        <w:ind w:left="0" w:right="0" w:firstLine="510"/>
        <w:rPr>
          <w:rFonts w:hint="default" w:ascii="sans-serif" w:hAnsi="sans-serif" w:eastAsia="sans-serif" w:cs="sans-serif"/>
          <w:i w:val="0"/>
          <w:iCs w:val="0"/>
          <w:caps w:val="0"/>
          <w:color w:val="000000"/>
          <w:spacing w:val="0"/>
          <w:sz w:val="24"/>
          <w:szCs w:val="24"/>
        </w:rPr>
      </w:pPr>
      <w:r>
        <w:rPr>
          <w:rFonts w:hint="eastAsia" w:ascii="方正仿宋简体" w:hAnsi="方正仿宋简体" w:eastAsia="方正仿宋简体" w:cs="方正仿宋简体"/>
          <w:i w:val="0"/>
          <w:iCs w:val="0"/>
          <w:caps w:val="0"/>
          <w:color w:val="000000"/>
          <w:spacing w:val="0"/>
          <w:sz w:val="25"/>
          <w:szCs w:val="25"/>
        </w:rPr>
        <w:t> </w:t>
      </w:r>
    </w:p>
    <w:p>
      <w:pPr>
        <w:pStyle w:val="2"/>
        <w:keepNext w:val="0"/>
        <w:keepLines w:val="0"/>
        <w:widowControl/>
        <w:suppressLineNumbers w:val="0"/>
        <w:spacing w:before="0" w:beforeAutospacing="0" w:after="0" w:afterAutospacing="0" w:line="465" w:lineRule="atLeast"/>
        <w:ind w:left="0" w:right="0" w:firstLine="510"/>
        <w:rPr>
          <w:rFonts w:hint="default" w:ascii="黑体" w:hAnsi="SimSun" w:eastAsia="黑体" w:cs="黑体"/>
          <w:i w:val="0"/>
          <w:iCs w:val="0"/>
          <w:caps w:val="0"/>
          <w:color w:val="333333"/>
          <w:spacing w:val="0"/>
          <w:sz w:val="31"/>
          <w:szCs w:val="31"/>
        </w:rPr>
      </w:pPr>
      <w:r>
        <w:rPr>
          <w:rFonts w:hint="default" w:ascii="黑体" w:hAnsi="SimSun" w:eastAsia="黑体" w:cs="黑体"/>
          <w:i w:val="0"/>
          <w:iCs w:val="0"/>
          <w:caps w:val="0"/>
          <w:color w:val="333333"/>
          <w:spacing w:val="0"/>
          <w:sz w:val="31"/>
          <w:szCs w:val="31"/>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rPr>
        <w:t>（一）存在问题</w:t>
      </w:r>
    </w:p>
    <w:p>
      <w:pPr>
        <w:pStyle w:val="2"/>
        <w:keepNext w:val="0"/>
        <w:keepLines w:val="0"/>
        <w:widowControl/>
        <w:suppressLineNumbers w:val="0"/>
        <w:spacing w:before="0" w:beforeAutospacing="0" w:after="0" w:afterAutospacing="0" w:line="420" w:lineRule="atLeast"/>
        <w:ind w:left="0" w:right="0"/>
        <w:jc w:val="left"/>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2023年，</w:t>
      </w:r>
      <w:r>
        <w:rPr>
          <w:rFonts w:hint="eastAsia" w:ascii="仿宋" w:hAnsi="仿宋" w:eastAsia="仿宋" w:cs="仿宋"/>
          <w:i w:val="0"/>
          <w:iCs w:val="0"/>
          <w:caps w:val="0"/>
          <w:color w:val="333333"/>
          <w:spacing w:val="0"/>
          <w:sz w:val="31"/>
          <w:szCs w:val="31"/>
          <w:lang w:val="en-US" w:eastAsia="zh-Hans"/>
        </w:rPr>
        <w:t>赵庙镇</w:t>
      </w:r>
      <w:r>
        <w:rPr>
          <w:rFonts w:hint="default" w:ascii="仿宋" w:hAnsi="仿宋" w:eastAsia="仿宋" w:cs="仿宋"/>
          <w:i w:val="0"/>
          <w:iCs w:val="0"/>
          <w:caps w:val="0"/>
          <w:color w:val="333333"/>
          <w:spacing w:val="0"/>
          <w:sz w:val="31"/>
          <w:szCs w:val="31"/>
        </w:rPr>
        <w:t>认真贯彻落实年度省、市、县政务公开工作要点，但仍然存在一些问题与不足。</w:t>
      </w:r>
      <w:r>
        <w:rPr>
          <w:rFonts w:hint="eastAsia" w:ascii="仿宋" w:hAnsi="仿宋" w:eastAsia="仿宋" w:cs="仿宋"/>
          <w:i w:val="0"/>
          <w:iCs w:val="0"/>
          <w:caps w:val="0"/>
          <w:color w:val="333333"/>
          <w:spacing w:val="0"/>
          <w:sz w:val="31"/>
          <w:szCs w:val="31"/>
          <w:lang w:val="en-US" w:eastAsia="zh-Hans"/>
        </w:rPr>
        <w:t>一</w:t>
      </w:r>
      <w:r>
        <w:rPr>
          <w:rFonts w:hint="default" w:ascii="仿宋" w:hAnsi="仿宋" w:eastAsia="仿宋" w:cs="仿宋"/>
          <w:i w:val="0"/>
          <w:iCs w:val="0"/>
          <w:caps w:val="0"/>
          <w:color w:val="333333"/>
          <w:spacing w:val="0"/>
          <w:sz w:val="31"/>
          <w:szCs w:val="31"/>
        </w:rPr>
        <w:t>是信息公开内容广度和深度还不够。</w:t>
      </w:r>
      <w:r>
        <w:rPr>
          <w:rFonts w:hint="eastAsia" w:ascii="仿宋" w:hAnsi="仿宋" w:eastAsia="仿宋" w:cs="仿宋"/>
          <w:i w:val="0"/>
          <w:iCs w:val="0"/>
          <w:caps w:val="0"/>
          <w:color w:val="333333"/>
          <w:spacing w:val="0"/>
          <w:sz w:val="31"/>
          <w:szCs w:val="31"/>
          <w:lang w:val="en-US" w:eastAsia="zh-Hans"/>
        </w:rPr>
        <w:t>二</w:t>
      </w:r>
      <w:r>
        <w:rPr>
          <w:rFonts w:hint="default" w:ascii="仿宋" w:hAnsi="仿宋" w:eastAsia="仿宋" w:cs="仿宋"/>
          <w:i w:val="0"/>
          <w:iCs w:val="0"/>
          <w:caps w:val="0"/>
          <w:color w:val="333333"/>
          <w:spacing w:val="0"/>
          <w:sz w:val="31"/>
          <w:szCs w:val="31"/>
        </w:rPr>
        <w:t>是信息公开形式单一，有待拓展。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333333"/>
          <w:spacing w:val="0"/>
          <w:sz w:val="31"/>
          <w:szCs w:val="31"/>
        </w:rPr>
        <w:t>（二）下步措施</w:t>
      </w:r>
    </w:p>
    <w:p>
      <w:pPr>
        <w:pStyle w:val="2"/>
        <w:keepNext w:val="0"/>
        <w:keepLines w:val="0"/>
        <w:widowControl/>
        <w:suppressLineNumbers w:val="0"/>
        <w:spacing w:before="0" w:beforeAutospacing="0" w:after="0" w:afterAutospacing="0" w:line="420" w:lineRule="atLeast"/>
        <w:ind w:left="0" w:right="0" w:firstLine="620" w:firstLineChars="200"/>
        <w:jc w:val="left"/>
        <w:rPr>
          <w:sz w:val="24"/>
          <w:szCs w:val="24"/>
        </w:rPr>
      </w:pPr>
      <w:r>
        <w:rPr>
          <w:rFonts w:hint="default" w:ascii="仿宋" w:hAnsi="仿宋" w:eastAsia="仿宋" w:cs="仿宋"/>
          <w:i w:val="0"/>
          <w:iCs w:val="0"/>
          <w:caps w:val="0"/>
          <w:color w:val="333333"/>
          <w:spacing w:val="0"/>
          <w:sz w:val="31"/>
          <w:szCs w:val="31"/>
        </w:rPr>
        <w:t>一是进一步压实责任，提高政治站位。将政务公开工作细化分工，责任到人，按时上传各栏目信息。二是进一步建强队伍，抓牢主体责任。要有针对性的组织有关人员进行政府信息公开业务培训，提高信息工作人员的业务能力。三是进一步加强管控，强化安全保障。规范管理政府信息公开资料，明确保密职责，严格审查程序，确保政府信息公开的真实、安全。</w:t>
      </w:r>
      <w:r>
        <w:rPr>
          <w:rFonts w:hint="eastAsia" w:ascii="仿宋" w:hAnsi="仿宋" w:eastAsia="仿宋" w:cs="仿宋"/>
          <w:i w:val="0"/>
          <w:iCs w:val="0"/>
          <w:caps w:val="0"/>
          <w:color w:val="333333"/>
          <w:spacing w:val="0"/>
          <w:sz w:val="31"/>
          <w:szCs w:val="31"/>
          <w:lang w:val="en-US" w:eastAsia="zh-Hans"/>
        </w:rPr>
        <w:t>四是</w:t>
      </w:r>
      <w:r>
        <w:rPr>
          <w:rFonts w:hint="default" w:ascii="仿宋" w:hAnsi="仿宋" w:eastAsia="仿宋" w:cs="仿宋"/>
          <w:i w:val="0"/>
          <w:iCs w:val="0"/>
          <w:caps w:val="0"/>
          <w:color w:val="333333"/>
          <w:spacing w:val="0"/>
          <w:sz w:val="31"/>
          <w:szCs w:val="31"/>
        </w:rPr>
        <w:t>丰富公开形式。采用群众喜闻乐见的方式，不断丰富信息载体，让群众以更易懂、易接受的方式获取信息。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firstLine="620" w:firstLineChars="200"/>
        <w:rPr>
          <w:rFonts w:hint="default" w:ascii="黑体" w:hAnsi="SimSun" w:eastAsia="黑体" w:cs="黑体"/>
          <w:i w:val="0"/>
          <w:iCs w:val="0"/>
          <w:caps w:val="0"/>
          <w:color w:val="333333"/>
          <w:spacing w:val="0"/>
          <w:sz w:val="31"/>
          <w:szCs w:val="31"/>
        </w:rPr>
      </w:pPr>
      <w:r>
        <w:rPr>
          <w:rFonts w:hint="default" w:ascii="黑体" w:hAnsi="SimSun" w:eastAsia="黑体" w:cs="黑体"/>
          <w:i w:val="0"/>
          <w:iCs w:val="0"/>
          <w:caps w:val="0"/>
          <w:color w:val="333333"/>
          <w:spacing w:val="0"/>
          <w:sz w:val="31"/>
          <w:szCs w:val="31"/>
        </w:rPr>
        <w:t>六、其他需要报告的事项</w:t>
      </w:r>
    </w:p>
    <w:p>
      <w:pPr>
        <w:pStyle w:val="2"/>
        <w:keepNext w:val="0"/>
        <w:keepLines w:val="0"/>
        <w:widowControl/>
        <w:suppressLineNumbers w:val="0"/>
        <w:spacing w:before="0" w:beforeAutospacing="0" w:after="0" w:afterAutospacing="0" w:line="420" w:lineRule="atLeast"/>
        <w:ind w:left="0" w:right="0" w:firstLine="620" w:firstLineChars="200"/>
        <w:jc w:val="left"/>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（一）收取信息处理费情况</w:t>
      </w:r>
    </w:p>
    <w:p>
      <w:pPr>
        <w:pStyle w:val="2"/>
        <w:keepNext w:val="0"/>
        <w:keepLines w:val="0"/>
        <w:widowControl/>
        <w:suppressLineNumbers w:val="0"/>
        <w:spacing w:before="0" w:beforeAutospacing="0" w:after="0" w:afterAutospacing="0" w:line="420" w:lineRule="atLeast"/>
        <w:ind w:left="0" w:right="0" w:firstLine="620" w:firstLineChars="200"/>
        <w:jc w:val="left"/>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本年度我街道信息处理费收取金额为0。</w:t>
      </w:r>
    </w:p>
    <w:p>
      <w:pPr>
        <w:pStyle w:val="2"/>
        <w:keepNext w:val="0"/>
        <w:keepLines w:val="0"/>
        <w:widowControl/>
        <w:suppressLineNumbers w:val="0"/>
        <w:spacing w:before="0" w:beforeAutospacing="0" w:after="0" w:afterAutospacing="0" w:line="420" w:lineRule="atLeast"/>
        <w:ind w:left="0" w:right="0" w:firstLine="620" w:firstLineChars="200"/>
        <w:jc w:val="left"/>
        <w:rPr>
          <w:rFonts w:hint="default" w:ascii="仿宋" w:hAnsi="仿宋" w:eastAsia="仿宋" w:cs="仿宋"/>
          <w:i w:val="0"/>
          <w:iCs w:val="0"/>
          <w:caps w:val="0"/>
          <w:color w:val="333333"/>
          <w:spacing w:val="0"/>
          <w:sz w:val="31"/>
          <w:szCs w:val="31"/>
        </w:rPr>
      </w:pPr>
      <w:r>
        <w:rPr>
          <w:rFonts w:hint="default" w:ascii="仿宋" w:hAnsi="仿宋" w:eastAsia="仿宋" w:cs="仿宋"/>
          <w:i w:val="0"/>
          <w:iCs w:val="0"/>
          <w:caps w:val="0"/>
          <w:color w:val="333333"/>
          <w:spacing w:val="0"/>
          <w:sz w:val="31"/>
          <w:szCs w:val="31"/>
        </w:rPr>
        <w:t>（二）落实上年度政务公开工作要点情况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深入贯彻落实我镇</w:t>
      </w:r>
      <w:r>
        <w:rPr>
          <w:rFonts w:hint="default" w:ascii="仿宋" w:hAnsi="仿宋" w:eastAsia="仿宋" w:cs="仿宋"/>
          <w:i w:val="0"/>
          <w:iCs w:val="0"/>
          <w:caps w:val="0"/>
          <w:color w:val="333333"/>
          <w:spacing w:val="0"/>
          <w:sz w:val="31"/>
          <w:szCs w:val="31"/>
        </w:rPr>
        <w:t>2023</w:t>
      </w:r>
      <w:r>
        <w:rPr>
          <w:rFonts w:hint="eastAsia" w:ascii="仿宋" w:hAnsi="仿宋" w:eastAsia="仿宋" w:cs="仿宋"/>
          <w:i w:val="0"/>
          <w:iCs w:val="0"/>
          <w:caps w:val="0"/>
          <w:color w:val="333333"/>
          <w:spacing w:val="0"/>
          <w:sz w:val="31"/>
          <w:szCs w:val="31"/>
        </w:rPr>
        <w:t>年度政务公开工作要点，结合本镇实际，及时制定发布《</w:t>
      </w:r>
      <w:r>
        <w:rPr>
          <w:rFonts w:hint="default" w:ascii="仿宋" w:hAnsi="仿宋" w:eastAsia="仿宋" w:cs="仿宋"/>
          <w:i w:val="0"/>
          <w:iCs w:val="0"/>
          <w:caps w:val="0"/>
          <w:color w:val="333333"/>
          <w:spacing w:val="0"/>
          <w:sz w:val="31"/>
          <w:szCs w:val="31"/>
        </w:rPr>
        <w:t>2023</w:t>
      </w:r>
      <w:r>
        <w:rPr>
          <w:rFonts w:hint="eastAsia" w:ascii="仿宋" w:hAnsi="仿宋" w:eastAsia="仿宋" w:cs="仿宋"/>
          <w:i w:val="0"/>
          <w:iCs w:val="0"/>
          <w:caps w:val="0"/>
          <w:color w:val="333333"/>
          <w:spacing w:val="0"/>
          <w:sz w:val="31"/>
          <w:szCs w:val="31"/>
        </w:rPr>
        <w:t>年</w:t>
      </w:r>
      <w:r>
        <w:rPr>
          <w:rFonts w:hint="eastAsia" w:ascii="仿宋" w:hAnsi="仿宋" w:eastAsia="仿宋" w:cs="仿宋"/>
          <w:i w:val="0"/>
          <w:iCs w:val="0"/>
          <w:caps w:val="0"/>
          <w:color w:val="333333"/>
          <w:spacing w:val="0"/>
          <w:sz w:val="31"/>
          <w:szCs w:val="31"/>
          <w:lang w:eastAsia="zh-CN"/>
        </w:rPr>
        <w:t>赵庙</w:t>
      </w:r>
      <w:r>
        <w:rPr>
          <w:rFonts w:hint="eastAsia" w:ascii="仿宋" w:hAnsi="仿宋" w:eastAsia="仿宋" w:cs="仿宋"/>
          <w:i w:val="0"/>
          <w:iCs w:val="0"/>
          <w:caps w:val="0"/>
          <w:color w:val="333333"/>
          <w:spacing w:val="0"/>
          <w:sz w:val="31"/>
          <w:szCs w:val="31"/>
        </w:rPr>
        <w:t>镇政务公开工作要点及分解细化实施方案》，</w:t>
      </w:r>
      <w:r>
        <w:rPr>
          <w:rFonts w:hint="default" w:ascii="仿宋" w:hAnsi="仿宋" w:eastAsia="仿宋" w:cs="仿宋"/>
          <w:i w:val="0"/>
          <w:iCs w:val="0"/>
          <w:caps w:val="0"/>
          <w:color w:val="333333"/>
          <w:spacing w:val="0"/>
          <w:sz w:val="31"/>
          <w:szCs w:val="31"/>
        </w:rPr>
        <w:t>完善政府信息公开工作制度，对政府信息公开工作的职责分工及任务进一步明确细化。对社会影响性大，有必要公开的文件，做到及时公开，加大主动公开力度，规范信息发布程序，做到及时、准确、全面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（三）人大代表建议和政协提案情况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333333"/>
          <w:spacing w:val="0"/>
          <w:sz w:val="31"/>
          <w:szCs w:val="31"/>
        </w:rPr>
        <w:t>202</w:t>
      </w:r>
      <w:r>
        <w:rPr>
          <w:rFonts w:hint="default" w:ascii="Times New Roman" w:hAnsi="Times New Roman" w:eastAsia="仿宋" w:cs="Times New Roman"/>
          <w:i w:val="0"/>
          <w:iCs w:val="0"/>
          <w:caps w:val="0"/>
          <w:color w:val="333333"/>
          <w:spacing w:val="0"/>
          <w:sz w:val="31"/>
          <w:szCs w:val="31"/>
        </w:rPr>
        <w:t>3</w:t>
      </w:r>
      <w:r>
        <w:rPr>
          <w:rFonts w:hint="eastAsia" w:ascii="仿宋" w:hAnsi="仿宋" w:eastAsia="仿宋" w:cs="仿宋"/>
          <w:i w:val="0"/>
          <w:iCs w:val="0"/>
          <w:caps w:val="0"/>
          <w:color w:val="333333"/>
          <w:spacing w:val="0"/>
          <w:sz w:val="31"/>
          <w:szCs w:val="31"/>
        </w:rPr>
        <w:t>年，</w:t>
      </w:r>
      <w:r>
        <w:rPr>
          <w:rFonts w:hint="eastAsia" w:ascii="仿宋" w:hAnsi="仿宋" w:eastAsia="仿宋" w:cs="仿宋"/>
          <w:i w:val="0"/>
          <w:iCs w:val="0"/>
          <w:caps w:val="0"/>
          <w:color w:val="333333"/>
          <w:spacing w:val="0"/>
          <w:sz w:val="31"/>
          <w:szCs w:val="31"/>
          <w:lang w:eastAsia="zh-CN"/>
        </w:rPr>
        <w:t>赵庙</w:t>
      </w:r>
      <w:r>
        <w:rPr>
          <w:rFonts w:hint="eastAsia" w:ascii="仿宋" w:hAnsi="仿宋" w:eastAsia="仿宋" w:cs="仿宋"/>
          <w:i w:val="0"/>
          <w:iCs w:val="0"/>
          <w:caps w:val="0"/>
          <w:color w:val="333333"/>
          <w:spacing w:val="0"/>
          <w:sz w:val="31"/>
          <w:szCs w:val="31"/>
        </w:rPr>
        <w:t>镇未收到人大建议和政协提案信息。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（四）本年度政务公开工作创新情况：开通“美德赵庙”公众号，通过微信公众平台发布各类信息及部门动态共计</w:t>
      </w:r>
      <w:r>
        <w:rPr>
          <w:rFonts w:hint="eastAsia" w:ascii="仿宋" w:hAnsi="仿宋" w:eastAsia="仿宋" w:cs="仿宋"/>
          <w:i w:val="0"/>
          <w:iCs w:val="0"/>
          <w:caps w:val="0"/>
          <w:color w:val="333333"/>
          <w:spacing w:val="0"/>
          <w:sz w:val="31"/>
          <w:szCs w:val="31"/>
          <w:lang w:val="en-US" w:eastAsia="zh-CN"/>
        </w:rPr>
        <w:t>300</w:t>
      </w:r>
      <w:r>
        <w:rPr>
          <w:rFonts w:hint="eastAsia" w:ascii="仿宋" w:hAnsi="仿宋" w:eastAsia="仿宋" w:cs="仿宋"/>
          <w:i w:val="0"/>
          <w:iCs w:val="0"/>
          <w:caps w:val="0"/>
          <w:color w:val="333333"/>
          <w:spacing w:val="0"/>
          <w:sz w:val="31"/>
          <w:szCs w:val="31"/>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（五）微山县赵庙镇本年度政府信息公开工作年度报告数据统计无需要说明的事项。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（六）微山县赵庙镇需要报告的其他事项：无。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default"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（七）其他有关文件专门要求通过政府信息公开工作年度报告予以报告的事项：无。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jc w:val="both"/>
        <w:rPr>
          <w:rFonts w:hint="eastAsia" w:ascii="仿宋" w:hAnsi="仿宋" w:eastAsia="仿宋" w:cs="仿宋"/>
          <w:i w:val="0"/>
          <w:iCs w:val="0"/>
          <w:caps w:val="0"/>
          <w:color w:val="333333"/>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B84DE369-4DC1-619C-0898-B765B7709C7A}"/>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简体">
    <w:panose1 w:val="02000000000000000000"/>
    <w:charset w:val="86"/>
    <w:family w:val="auto"/>
    <w:pitch w:val="default"/>
    <w:sig w:usb0="00000000" w:usb1="00000000" w:usb2="00000000" w:usb3="00000000" w:csb0="00040000" w:csb1="00000000"/>
    <w:embedRegular r:id="rId2" w:fontKey="{003332FA-6CA9-2375-0898-B765F13AAB09}"/>
  </w:font>
  <w:font w:name="Microsoft YaHei">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Tg1OWEwNDJjNjZiMjkzNzFlZDVhYmIyNDg4YzUifQ=="/>
  </w:docVars>
  <w:rsids>
    <w:rsidRoot w:val="00000000"/>
    <w:rsid w:val="05E00AA9"/>
    <w:rsid w:val="2CD951C2"/>
    <w:rsid w:val="3E0539DB"/>
    <w:rsid w:val="47581302"/>
    <w:rsid w:val="4A8E1691"/>
    <w:rsid w:val="5ADB0E03"/>
    <w:rsid w:val="5FF72948"/>
    <w:rsid w:val="7DD8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lrk.jining.gov.cn/jcms/jcms_files/jcms1/web102/site/picture/0/f05813328cfb4a3197a6ee381fef8a67.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2810</Words>
  <Characters>2952</Characters>
  <Lines>0</Lines>
  <Paragraphs>0</Paragraphs>
  <TotalTime>3</TotalTime>
  <ScaleCrop>false</ScaleCrop>
  <LinksUpToDate>false</LinksUpToDate>
  <CharactersWithSpaces>2953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2024-01-23T11:32:00Z</dcterms:created>
  <dc:creator>Administrator</dc:creator>
  <cp:lastModifiedBy>满心欢喜</cp:lastModifiedBy>
  <dcterms:modified xsi:type="dcterms:W3CDTF">2024-01-29T20:20:24Z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6B864EB07E7AA9B30898B7654A721979_43</vt:lpwstr>
  </property>
</Properties>
</file>