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b/>
          <w:bCs/>
          <w:color w:val="000000"/>
          <w:kern w:val="0"/>
          <w:sz w:val="43"/>
          <w:szCs w:val="43"/>
          <w:lang w:val="en-US" w:eastAsia="zh-CN" w:bidi="ar"/>
        </w:rPr>
      </w:pPr>
      <w:r>
        <w:rPr>
          <w:rFonts w:hint="eastAsia" w:ascii="方正小标宋简体" w:hAnsi="方正小标宋简体" w:eastAsia="方正小标宋简体" w:cs="方正小标宋简体"/>
          <w:b/>
          <w:bCs/>
          <w:color w:val="000000"/>
          <w:kern w:val="0"/>
          <w:sz w:val="43"/>
          <w:szCs w:val="43"/>
          <w:lang w:val="en-US" w:eastAsia="zh-CN" w:bidi="ar"/>
        </w:rPr>
        <w:t>微山县自然资源和规划局</w:t>
      </w:r>
      <w:r>
        <w:rPr>
          <w:rFonts w:ascii="方正小标宋简体" w:hAnsi="方正小标宋简体" w:eastAsia="方正小标宋简体" w:cs="方正小标宋简体"/>
          <w:b/>
          <w:bCs/>
          <w:color w:val="000000"/>
          <w:kern w:val="0"/>
          <w:sz w:val="43"/>
          <w:szCs w:val="43"/>
          <w:lang w:val="en-US" w:eastAsia="zh-CN" w:bidi="ar"/>
        </w:rPr>
        <w:t>2022年</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pPr>
      <w:r>
        <w:rPr>
          <w:rFonts w:ascii="方正小标宋简体" w:hAnsi="方正小标宋简体" w:eastAsia="方正小标宋简体" w:cs="方正小标宋简体"/>
          <w:b/>
          <w:bCs/>
          <w:color w:val="000000"/>
          <w:kern w:val="0"/>
          <w:sz w:val="43"/>
          <w:szCs w:val="43"/>
          <w:lang w:val="en-US" w:eastAsia="zh-CN" w:bidi="ar"/>
        </w:rPr>
        <w:t>政府信息公开</w:t>
      </w:r>
      <w:r>
        <w:rPr>
          <w:rFonts w:hint="default" w:ascii="方正小标宋简体" w:hAnsi="方正小标宋简体" w:eastAsia="方正小标宋简体" w:cs="方正小标宋简体"/>
          <w:b/>
          <w:bCs/>
          <w:color w:val="000000"/>
          <w:kern w:val="0"/>
          <w:sz w:val="43"/>
          <w:szCs w:val="43"/>
          <w:lang w:val="en-US" w:eastAsia="zh-CN" w:bidi="ar"/>
        </w:rPr>
        <w:t>工作年度报告</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1"/>
        <w:textAlignment w:val="auto"/>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本报告由</w:t>
      </w:r>
      <w:r>
        <w:rPr>
          <w:rFonts w:hint="eastAsia" w:ascii="仿宋" w:hAnsi="仿宋" w:eastAsia="仿宋" w:cs="仿宋"/>
          <w:b w:val="0"/>
          <w:bCs w:val="0"/>
          <w:color w:val="000000"/>
          <w:sz w:val="31"/>
          <w:szCs w:val="31"/>
          <w:lang w:val="en-US" w:eastAsia="zh-CN"/>
        </w:rPr>
        <w:t>微山县自然资源和规划局</w:t>
      </w:r>
      <w:r>
        <w:rPr>
          <w:rFonts w:hint="eastAsia" w:ascii="仿宋" w:hAnsi="仿宋" w:eastAsia="仿宋" w:cs="仿宋"/>
          <w:b w:val="0"/>
          <w:bCs w:val="0"/>
          <w:color w:val="000000"/>
          <w:sz w:val="31"/>
          <w:szCs w:val="31"/>
        </w:rPr>
        <w:t>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1"/>
        <w:textAlignment w:val="auto"/>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1"/>
        <w:textAlignment w:val="auto"/>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本报告所列数据的统计期限自2022年1月1日起至2022年12月31日止。本报告电子版可在“中国·</w:t>
      </w:r>
      <w:r>
        <w:rPr>
          <w:rFonts w:hint="eastAsia" w:ascii="仿宋" w:hAnsi="仿宋" w:eastAsia="仿宋" w:cs="仿宋"/>
          <w:b w:val="0"/>
          <w:bCs w:val="0"/>
          <w:color w:val="000000"/>
          <w:sz w:val="31"/>
          <w:szCs w:val="31"/>
          <w:lang w:val="en-US" w:eastAsia="zh-CN"/>
        </w:rPr>
        <w:t>微山</w:t>
      </w:r>
      <w:r>
        <w:rPr>
          <w:rFonts w:hint="eastAsia" w:ascii="仿宋" w:hAnsi="仿宋" w:eastAsia="仿宋" w:cs="仿宋"/>
          <w:b w:val="0"/>
          <w:bCs w:val="0"/>
          <w:color w:val="000000"/>
          <w:sz w:val="31"/>
          <w:szCs w:val="31"/>
        </w:rPr>
        <w:t>”政府门户网站（http://www.weishan.gov.cn/）查阅或下载。如对本报告有疑问，请与</w:t>
      </w:r>
      <w:r>
        <w:rPr>
          <w:rFonts w:hint="eastAsia" w:ascii="仿宋" w:hAnsi="仿宋" w:eastAsia="仿宋" w:cs="仿宋"/>
          <w:b w:val="0"/>
          <w:bCs w:val="0"/>
          <w:color w:val="000000"/>
          <w:sz w:val="31"/>
          <w:szCs w:val="31"/>
          <w:lang w:val="en-US" w:eastAsia="zh-CN"/>
        </w:rPr>
        <w:t>微山县自然资源和规划局</w:t>
      </w:r>
      <w:r>
        <w:rPr>
          <w:rFonts w:hint="eastAsia" w:ascii="仿宋" w:hAnsi="仿宋" w:eastAsia="仿宋" w:cs="仿宋"/>
          <w:b w:val="0"/>
          <w:bCs w:val="0"/>
          <w:color w:val="000000"/>
          <w:sz w:val="31"/>
          <w:szCs w:val="31"/>
        </w:rPr>
        <w:t>联系（地址：</w:t>
      </w:r>
      <w:r>
        <w:rPr>
          <w:rFonts w:hint="eastAsia" w:ascii="仿宋" w:hAnsi="仿宋" w:eastAsia="仿宋" w:cs="仿宋"/>
          <w:b w:val="0"/>
          <w:bCs w:val="0"/>
          <w:color w:val="000000"/>
          <w:sz w:val="31"/>
          <w:szCs w:val="31"/>
          <w:lang w:val="en-US" w:eastAsia="zh-CN"/>
        </w:rPr>
        <w:t>微山县东风东路275号</w:t>
      </w:r>
      <w:r>
        <w:rPr>
          <w:rFonts w:hint="eastAsia" w:ascii="仿宋" w:hAnsi="仿宋" w:eastAsia="仿宋" w:cs="仿宋"/>
          <w:b w:val="0"/>
          <w:bCs w:val="0"/>
          <w:color w:val="000000"/>
          <w:sz w:val="31"/>
          <w:szCs w:val="31"/>
        </w:rPr>
        <w:t>，联系电话：0537—</w:t>
      </w:r>
      <w:r>
        <w:rPr>
          <w:rFonts w:hint="eastAsia" w:ascii="仿宋" w:hAnsi="仿宋" w:eastAsia="仿宋" w:cs="仿宋"/>
          <w:b w:val="0"/>
          <w:bCs w:val="0"/>
          <w:color w:val="000000"/>
          <w:sz w:val="31"/>
          <w:szCs w:val="31"/>
          <w:lang w:val="en-US" w:eastAsia="zh-CN"/>
        </w:rPr>
        <w:t>8233029</w:t>
      </w:r>
      <w:r>
        <w:rPr>
          <w:rFonts w:hint="eastAsia" w:ascii="仿宋" w:hAnsi="仿宋" w:eastAsia="仿宋" w:cs="仿宋"/>
          <w:b w:val="0"/>
          <w:bCs w:val="0"/>
          <w:color w:val="000000"/>
          <w:sz w:val="31"/>
          <w:szCs w:val="31"/>
        </w:rPr>
        <w:t>）。</w:t>
      </w:r>
    </w:p>
    <w:p>
      <w:pPr>
        <w:pStyle w:val="2"/>
        <w:keepNext w:val="0"/>
        <w:keepLines w:val="0"/>
        <w:widowControl/>
        <w:suppressLineNumbers w:val="0"/>
        <w:ind w:left="0" w:firstLine="640"/>
      </w:pPr>
      <w:r>
        <w:rPr>
          <w:rFonts w:hint="default" w:ascii="方正黑体简体" w:hAnsi="方正黑体简体" w:eastAsia="方正黑体简体" w:cs="方正黑体简体"/>
          <w:b/>
          <w:bCs/>
          <w:color w:val="000000"/>
          <w:sz w:val="31"/>
          <w:szCs w:val="31"/>
        </w:rPr>
        <w:t>一、总体情况</w:t>
      </w:r>
    </w:p>
    <w:p>
      <w:pPr>
        <w:pStyle w:val="2"/>
        <w:keepNext w:val="0"/>
        <w:keepLines w:val="0"/>
        <w:widowControl/>
        <w:suppressLineNumbers w:val="0"/>
        <w:ind w:left="0" w:firstLine="640"/>
      </w:pPr>
      <w:r>
        <w:rPr>
          <w:rFonts w:ascii="方正楷体简体" w:hAnsi="方正楷体简体" w:eastAsia="方正楷体简体" w:cs="方正楷体简体"/>
          <w:b/>
          <w:bCs/>
          <w:color w:val="000000"/>
          <w:sz w:val="31"/>
          <w:szCs w:val="31"/>
        </w:rPr>
        <w:t>（一）主动公开情况</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1"/>
        <w:textAlignment w:val="auto"/>
        <w:rPr>
          <w:rFonts w:hint="eastAsia" w:ascii="仿宋" w:hAnsi="仿宋" w:eastAsia="仿宋" w:cs="仿宋"/>
          <w:b w:val="0"/>
          <w:bCs w:val="0"/>
          <w:color w:val="000000"/>
          <w:sz w:val="31"/>
          <w:szCs w:val="31"/>
          <w:lang w:val="en-US" w:eastAsia="zh-CN"/>
        </w:rPr>
      </w:pPr>
      <w:r>
        <w:rPr>
          <w:rFonts w:hint="eastAsia" w:ascii="仿宋" w:hAnsi="仿宋" w:eastAsia="仿宋" w:cs="仿宋"/>
          <w:b w:val="0"/>
          <w:bCs w:val="0"/>
          <w:color w:val="000000"/>
          <w:sz w:val="31"/>
          <w:szCs w:val="31"/>
        </w:rPr>
        <w:t>我</w:t>
      </w:r>
      <w:r>
        <w:rPr>
          <w:rFonts w:hint="eastAsia" w:ascii="仿宋" w:hAnsi="仿宋" w:eastAsia="仿宋" w:cs="仿宋"/>
          <w:b w:val="0"/>
          <w:bCs w:val="0"/>
          <w:color w:val="000000"/>
          <w:sz w:val="31"/>
          <w:szCs w:val="31"/>
          <w:lang w:val="en-US" w:eastAsia="zh-CN"/>
        </w:rPr>
        <w:t>局</w:t>
      </w:r>
      <w:r>
        <w:rPr>
          <w:rFonts w:hint="eastAsia" w:ascii="仿宋" w:hAnsi="仿宋" w:eastAsia="仿宋" w:cs="仿宋"/>
          <w:b w:val="0"/>
          <w:bCs w:val="0"/>
          <w:color w:val="000000"/>
          <w:sz w:val="31"/>
          <w:szCs w:val="31"/>
        </w:rPr>
        <w:t>结合部门实际制定完善了一系列</w:t>
      </w:r>
      <w:r>
        <w:rPr>
          <w:rFonts w:hint="eastAsia" w:ascii="仿宋" w:hAnsi="仿宋" w:eastAsia="仿宋" w:cs="仿宋"/>
          <w:b w:val="0"/>
          <w:bCs w:val="0"/>
          <w:color w:val="000000"/>
          <w:sz w:val="31"/>
          <w:szCs w:val="31"/>
          <w:lang w:val="en-US" w:eastAsia="zh-CN"/>
        </w:rPr>
        <w:t>网站管理和政务公开的</w:t>
      </w:r>
      <w:r>
        <w:rPr>
          <w:rFonts w:hint="eastAsia" w:ascii="仿宋" w:hAnsi="仿宋" w:eastAsia="仿宋" w:cs="仿宋"/>
          <w:b w:val="0"/>
          <w:bCs w:val="0"/>
          <w:color w:val="000000"/>
          <w:sz w:val="31"/>
          <w:szCs w:val="31"/>
        </w:rPr>
        <w:t>制度</w:t>
      </w:r>
      <w:r>
        <w:rPr>
          <w:rFonts w:hint="eastAsia" w:ascii="仿宋" w:hAnsi="仿宋" w:eastAsia="仿宋" w:cs="仿宋"/>
          <w:b w:val="0"/>
          <w:bCs w:val="0"/>
          <w:color w:val="000000"/>
          <w:sz w:val="31"/>
          <w:szCs w:val="31"/>
          <w:lang w:val="en-US" w:eastAsia="zh-CN"/>
        </w:rPr>
        <w:t>规定</w:t>
      </w:r>
      <w:r>
        <w:rPr>
          <w:rFonts w:hint="eastAsia" w:ascii="仿宋" w:hAnsi="仿宋" w:eastAsia="仿宋" w:cs="仿宋"/>
          <w:b w:val="0"/>
          <w:bCs w:val="0"/>
          <w:color w:val="000000"/>
          <w:sz w:val="31"/>
          <w:szCs w:val="31"/>
        </w:rPr>
        <w:t>，为推动政务信息公开工作</w:t>
      </w:r>
      <w:r>
        <w:rPr>
          <w:rFonts w:hint="eastAsia" w:ascii="仿宋" w:hAnsi="仿宋" w:eastAsia="仿宋" w:cs="仿宋"/>
          <w:b w:val="0"/>
          <w:bCs w:val="0"/>
          <w:color w:val="000000"/>
          <w:sz w:val="31"/>
          <w:szCs w:val="31"/>
          <w:lang w:val="en-US" w:eastAsia="zh-CN"/>
        </w:rPr>
        <w:t>顺利</w:t>
      </w:r>
      <w:r>
        <w:rPr>
          <w:rFonts w:hint="eastAsia" w:ascii="仿宋" w:hAnsi="仿宋" w:eastAsia="仿宋" w:cs="仿宋"/>
          <w:b w:val="0"/>
          <w:bCs w:val="0"/>
          <w:color w:val="000000"/>
          <w:sz w:val="31"/>
          <w:szCs w:val="31"/>
        </w:rPr>
        <w:t>开展</w:t>
      </w:r>
      <w:r>
        <w:rPr>
          <w:rFonts w:hint="eastAsia" w:ascii="仿宋" w:hAnsi="仿宋" w:eastAsia="仿宋" w:cs="仿宋"/>
          <w:b w:val="0"/>
          <w:bCs w:val="0"/>
          <w:color w:val="000000"/>
          <w:sz w:val="31"/>
          <w:szCs w:val="31"/>
          <w:lang w:val="en-US" w:eastAsia="zh-CN"/>
        </w:rPr>
        <w:t>奠定了良好基础</w:t>
      </w:r>
      <w:r>
        <w:rPr>
          <w:rFonts w:hint="eastAsia" w:ascii="仿宋" w:hAnsi="仿宋" w:eastAsia="仿宋" w:cs="仿宋"/>
          <w:b w:val="0"/>
          <w:bCs w:val="0"/>
          <w:color w:val="000000"/>
          <w:sz w:val="31"/>
          <w:szCs w:val="31"/>
        </w:rPr>
        <w:t>。</w:t>
      </w:r>
      <w:r>
        <w:rPr>
          <w:rFonts w:hint="eastAsia" w:ascii="仿宋" w:hAnsi="仿宋" w:eastAsia="仿宋" w:cs="仿宋"/>
          <w:b w:val="0"/>
          <w:bCs w:val="0"/>
          <w:color w:val="000000"/>
          <w:sz w:val="31"/>
          <w:szCs w:val="31"/>
          <w:lang w:val="en-US" w:eastAsia="zh-CN"/>
        </w:rPr>
        <w:t>2022年全年共计主动</w:t>
      </w:r>
      <w:r>
        <w:rPr>
          <w:rFonts w:hint="eastAsia" w:ascii="仿宋" w:hAnsi="仿宋" w:eastAsia="仿宋" w:cs="仿宋"/>
          <w:b w:val="0"/>
          <w:bCs w:val="0"/>
          <w:color w:val="000000"/>
          <w:sz w:val="31"/>
          <w:szCs w:val="31"/>
        </w:rPr>
        <w:t>发布</w:t>
      </w:r>
      <w:r>
        <w:rPr>
          <w:rFonts w:hint="eastAsia" w:ascii="仿宋" w:hAnsi="仿宋" w:eastAsia="仿宋" w:cs="仿宋"/>
          <w:b w:val="0"/>
          <w:bCs w:val="0"/>
          <w:color w:val="000000"/>
          <w:sz w:val="31"/>
          <w:szCs w:val="31"/>
          <w:lang w:val="en-US" w:eastAsia="zh-CN"/>
        </w:rPr>
        <w:t>各类政务</w:t>
      </w:r>
      <w:r>
        <w:rPr>
          <w:rFonts w:hint="eastAsia" w:ascii="仿宋" w:hAnsi="仿宋" w:eastAsia="仿宋" w:cs="仿宋"/>
          <w:b w:val="0"/>
          <w:bCs w:val="0"/>
          <w:color w:val="000000"/>
          <w:sz w:val="31"/>
          <w:szCs w:val="31"/>
        </w:rPr>
        <w:t>信息</w:t>
      </w:r>
      <w:r>
        <w:rPr>
          <w:rFonts w:hint="eastAsia" w:ascii="仿宋" w:hAnsi="仿宋" w:eastAsia="仿宋" w:cs="仿宋"/>
          <w:b w:val="0"/>
          <w:bCs w:val="0"/>
          <w:color w:val="000000"/>
          <w:sz w:val="31"/>
          <w:szCs w:val="31"/>
          <w:lang w:val="en-US" w:eastAsia="zh-CN"/>
        </w:rPr>
        <w:t>167条，其中提案建议类40条，通知公告类38条，不动产遗失声明39条</w:t>
      </w:r>
      <w:r>
        <w:rPr>
          <w:rFonts w:hint="eastAsia" w:ascii="仿宋" w:hAnsi="仿宋" w:eastAsia="仿宋" w:cs="仿宋"/>
          <w:b w:val="0"/>
          <w:bCs w:val="0"/>
          <w:color w:val="000000"/>
          <w:sz w:val="31"/>
          <w:szCs w:val="31"/>
          <w:lang w:eastAsia="zh-CN"/>
        </w:rPr>
        <w:t>，</w:t>
      </w:r>
      <w:r>
        <w:rPr>
          <w:rFonts w:hint="eastAsia" w:ascii="仿宋" w:hAnsi="仿宋" w:eastAsia="仿宋" w:cs="仿宋"/>
          <w:b w:val="0"/>
          <w:bCs w:val="0"/>
          <w:color w:val="000000"/>
          <w:sz w:val="31"/>
          <w:szCs w:val="31"/>
          <w:lang w:val="en-US" w:eastAsia="zh-CN"/>
        </w:rPr>
        <w:t>政策</w:t>
      </w:r>
      <w:r>
        <w:rPr>
          <w:rFonts w:hint="eastAsia" w:ascii="仿宋" w:hAnsi="仿宋" w:eastAsia="仿宋" w:cs="仿宋"/>
          <w:b w:val="0"/>
          <w:bCs w:val="0"/>
          <w:color w:val="000000"/>
          <w:sz w:val="31"/>
          <w:szCs w:val="31"/>
        </w:rPr>
        <w:t>解读</w:t>
      </w:r>
      <w:r>
        <w:rPr>
          <w:rFonts w:hint="eastAsia" w:ascii="仿宋" w:hAnsi="仿宋" w:eastAsia="仿宋" w:cs="仿宋"/>
          <w:b w:val="0"/>
          <w:bCs w:val="0"/>
          <w:color w:val="000000"/>
          <w:sz w:val="31"/>
          <w:szCs w:val="31"/>
          <w:lang w:val="en-US" w:eastAsia="zh-CN"/>
        </w:rPr>
        <w:t>1条</w:t>
      </w:r>
      <w:r>
        <w:rPr>
          <w:rFonts w:hint="eastAsia" w:ascii="仿宋" w:hAnsi="仿宋" w:eastAsia="仿宋" w:cs="仿宋"/>
          <w:b w:val="0"/>
          <w:bCs w:val="0"/>
          <w:color w:val="000000"/>
          <w:sz w:val="31"/>
          <w:szCs w:val="31"/>
        </w:rPr>
        <w:t>。</w:t>
      </w:r>
      <w:r>
        <w:rPr>
          <w:rFonts w:hint="eastAsia" w:ascii="仿宋" w:hAnsi="仿宋" w:eastAsia="仿宋" w:cs="仿宋"/>
          <w:b w:val="0"/>
          <w:bCs w:val="0"/>
          <w:color w:val="000000"/>
          <w:sz w:val="31"/>
          <w:szCs w:val="31"/>
          <w:lang w:val="en-US" w:eastAsia="zh-CN"/>
        </w:rPr>
        <w:t>在</w:t>
      </w:r>
      <w:r>
        <w:rPr>
          <w:rFonts w:hint="eastAsia" w:ascii="仿宋" w:hAnsi="仿宋" w:eastAsia="仿宋" w:cs="仿宋"/>
          <w:b w:val="0"/>
          <w:bCs w:val="0"/>
          <w:color w:val="000000"/>
          <w:sz w:val="31"/>
          <w:szCs w:val="31"/>
        </w:rPr>
        <w:t>济宁市政府互动交流</w:t>
      </w:r>
      <w:r>
        <w:rPr>
          <w:rFonts w:hint="eastAsia" w:ascii="仿宋" w:hAnsi="仿宋" w:eastAsia="仿宋" w:cs="仿宋"/>
          <w:b w:val="0"/>
          <w:bCs w:val="0"/>
          <w:color w:val="000000"/>
          <w:sz w:val="31"/>
          <w:szCs w:val="31"/>
          <w:lang w:val="en-US" w:eastAsia="zh-CN"/>
        </w:rPr>
        <w:t>平台答复问题10件（不含依申请公开事项）。</w:t>
      </w:r>
      <w:bookmarkStart w:id="10" w:name="_GoBack"/>
      <w:bookmarkEnd w:id="10"/>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1"/>
        <w:textAlignment w:val="auto"/>
        <w:rPr>
          <w:rFonts w:hint="eastAsia" w:ascii="仿宋" w:hAnsi="仿宋" w:eastAsia="仿宋" w:cs="仿宋"/>
          <w:b w:val="0"/>
          <w:bCs w:val="0"/>
          <w:color w:val="000000"/>
          <w:sz w:val="31"/>
          <w:szCs w:val="31"/>
          <w:lang w:val="en-US" w:eastAsia="zh-CN"/>
        </w:rPr>
      </w:pPr>
      <w:r>
        <w:rPr>
          <w:rFonts w:hint="eastAsia" w:ascii="仿宋" w:hAnsi="仿宋" w:eastAsia="仿宋" w:cs="仿宋"/>
          <w:b w:val="0"/>
          <w:bCs w:val="0"/>
          <w:color w:val="000000"/>
          <w:sz w:val="31"/>
          <w:szCs w:val="31"/>
          <w:lang w:val="en-US" w:eastAsia="zh-CN"/>
        </w:rPr>
        <w:drawing>
          <wp:anchor distT="0" distB="0" distL="114300" distR="114300" simplePos="0" relativeHeight="251659264" behindDoc="0" locked="0" layoutInCell="1" allowOverlap="1">
            <wp:simplePos x="0" y="0"/>
            <wp:positionH relativeFrom="column">
              <wp:posOffset>78105</wp:posOffset>
            </wp:positionH>
            <wp:positionV relativeFrom="paragraph">
              <wp:posOffset>23495</wp:posOffset>
            </wp:positionV>
            <wp:extent cx="5784215" cy="2475230"/>
            <wp:effectExtent l="4445" t="4445" r="21590" b="53975"/>
            <wp:wrapNone/>
            <wp:docPr id="1" name="图表 1" descr="7b0a202020202263686172745265734964223a2022323034373039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1"/>
        <w:textAlignment w:val="auto"/>
        <w:rPr>
          <w:rFonts w:hint="eastAsia" w:ascii="仿宋" w:hAnsi="仿宋" w:eastAsia="仿宋" w:cs="仿宋"/>
          <w:b w:val="0"/>
          <w:bCs w:val="0"/>
          <w:color w:val="000000"/>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1"/>
        <w:textAlignment w:val="auto"/>
        <w:rPr>
          <w:rFonts w:hint="eastAsia" w:ascii="仿宋" w:hAnsi="仿宋" w:eastAsia="仿宋" w:cs="仿宋"/>
          <w:b w:val="0"/>
          <w:bCs w:val="0"/>
          <w:color w:val="000000"/>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1"/>
        <w:textAlignment w:val="auto"/>
        <w:rPr>
          <w:rFonts w:hint="eastAsia" w:ascii="仿宋" w:hAnsi="仿宋" w:eastAsia="仿宋" w:cs="仿宋"/>
          <w:b w:val="0"/>
          <w:bCs w:val="0"/>
          <w:color w:val="000000"/>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1"/>
        <w:textAlignment w:val="auto"/>
        <w:rPr>
          <w:rFonts w:hint="eastAsia" w:ascii="仿宋" w:hAnsi="仿宋" w:eastAsia="仿宋" w:cs="仿宋"/>
          <w:b w:val="0"/>
          <w:bCs w:val="0"/>
          <w:color w:val="000000"/>
          <w:sz w:val="31"/>
          <w:szCs w:val="31"/>
          <w:lang w:val="en-US" w:eastAsia="zh-CN"/>
        </w:rPr>
      </w:pPr>
      <w:r>
        <w:rPr>
          <w:rFonts w:hint="eastAsia"/>
        </w:rPr>
        <w:t>2022年主动公开政务信息数量2022年主动公开政务信息数量</w:t>
      </w:r>
    </w:p>
    <w:p>
      <w:pPr>
        <w:pStyle w:val="2"/>
        <w:keepNext w:val="0"/>
        <w:keepLines w:val="0"/>
        <w:widowControl/>
        <w:suppressLineNumbers w:val="0"/>
        <w:ind w:left="0" w:firstLine="640"/>
      </w:pPr>
      <w:r>
        <w:rPr>
          <w:rFonts w:hint="default" w:ascii="方正楷体简体" w:hAnsi="方正楷体简体" w:eastAsia="方正楷体简体" w:cs="方正楷体简体"/>
          <w:b/>
          <w:bCs/>
          <w:color w:val="000000"/>
          <w:sz w:val="31"/>
          <w:szCs w:val="31"/>
        </w:rPr>
        <w:t>（二）依申请公开情况</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0"/>
        <w:textAlignment w:val="auto"/>
        <w:rPr>
          <w:rFonts w:hint="default" w:ascii="仿宋" w:hAnsi="仿宋" w:eastAsia="仿宋" w:cs="仿宋"/>
          <w:b w:val="0"/>
          <w:bCs w:val="0"/>
          <w:color w:val="000000"/>
          <w:sz w:val="31"/>
          <w:szCs w:val="31"/>
          <w:lang w:val="en-US" w:eastAsia="zh-CN"/>
        </w:rPr>
      </w:pPr>
      <w:r>
        <w:rPr>
          <w:rFonts w:hint="eastAsia" w:ascii="仿宋" w:hAnsi="仿宋" w:eastAsia="仿宋" w:cs="仿宋"/>
          <w:b w:val="0"/>
          <w:bCs w:val="0"/>
          <w:color w:val="000000"/>
          <w:sz w:val="31"/>
          <w:szCs w:val="31"/>
          <w:lang w:val="en-US" w:eastAsia="zh-CN"/>
        </w:rPr>
        <w:t>2022年度</w:t>
      </w:r>
      <w:r>
        <w:rPr>
          <w:rFonts w:hint="default" w:ascii="仿宋" w:hAnsi="仿宋" w:eastAsia="仿宋" w:cs="仿宋"/>
          <w:b w:val="0"/>
          <w:bCs w:val="0"/>
          <w:color w:val="000000"/>
          <w:sz w:val="31"/>
          <w:szCs w:val="31"/>
          <w:lang w:val="en-US" w:eastAsia="zh-CN"/>
        </w:rPr>
        <w:t>本行政机关受理政府信息公开申请情况</w:t>
      </w:r>
      <w:r>
        <w:rPr>
          <w:rFonts w:hint="eastAsia" w:ascii="仿宋" w:hAnsi="仿宋" w:eastAsia="仿宋" w:cs="仿宋"/>
          <w:b w:val="0"/>
          <w:bCs w:val="0"/>
          <w:color w:val="000000"/>
          <w:sz w:val="31"/>
          <w:szCs w:val="31"/>
          <w:lang w:val="en-US" w:eastAsia="zh-CN"/>
        </w:rPr>
        <w:t>13件，其中互动平台4件，</w:t>
      </w:r>
      <w:r>
        <w:rPr>
          <w:rFonts w:hint="default" w:ascii="仿宋" w:hAnsi="仿宋" w:eastAsia="仿宋" w:cs="仿宋"/>
          <w:b w:val="0"/>
          <w:bCs w:val="0"/>
          <w:color w:val="000000"/>
          <w:sz w:val="31"/>
          <w:szCs w:val="31"/>
          <w:lang w:val="en-US" w:eastAsia="zh-CN"/>
        </w:rPr>
        <w:t>申请涉及内容</w:t>
      </w:r>
      <w:r>
        <w:rPr>
          <w:rFonts w:hint="eastAsia" w:ascii="仿宋" w:hAnsi="仿宋" w:eastAsia="仿宋" w:cs="仿宋"/>
          <w:b w:val="0"/>
          <w:bCs w:val="0"/>
          <w:color w:val="000000"/>
          <w:sz w:val="31"/>
          <w:szCs w:val="31"/>
          <w:lang w:val="en-US" w:eastAsia="zh-CN"/>
        </w:rPr>
        <w:t>包含土地征收、工程规划图件资料等，已</w:t>
      </w:r>
      <w:r>
        <w:rPr>
          <w:rFonts w:hint="default" w:ascii="仿宋" w:hAnsi="仿宋" w:eastAsia="仿宋" w:cs="仿宋"/>
          <w:b w:val="0"/>
          <w:bCs w:val="0"/>
          <w:color w:val="000000"/>
          <w:sz w:val="31"/>
          <w:szCs w:val="31"/>
          <w:lang w:val="en-US" w:eastAsia="zh-CN"/>
        </w:rPr>
        <w:t>处理答复</w:t>
      </w:r>
      <w:r>
        <w:rPr>
          <w:rFonts w:hint="eastAsia" w:ascii="仿宋" w:hAnsi="仿宋" w:eastAsia="仿宋" w:cs="仿宋"/>
          <w:b w:val="0"/>
          <w:bCs w:val="0"/>
          <w:color w:val="000000"/>
          <w:sz w:val="31"/>
          <w:szCs w:val="31"/>
          <w:lang w:val="en-US" w:eastAsia="zh-CN"/>
        </w:rPr>
        <w:t>13件，其中不予公开3件。相比2021年减少2件，无</w:t>
      </w:r>
      <w:r>
        <w:rPr>
          <w:rFonts w:hint="default" w:ascii="仿宋" w:hAnsi="仿宋" w:eastAsia="仿宋" w:cs="仿宋"/>
          <w:b w:val="0"/>
          <w:bCs w:val="0"/>
          <w:color w:val="000000"/>
          <w:sz w:val="31"/>
          <w:szCs w:val="31"/>
          <w:lang w:val="en-US" w:eastAsia="zh-CN"/>
        </w:rPr>
        <w:t>收费情况等。</w:t>
      </w:r>
    </w:p>
    <w:p>
      <w:pPr>
        <w:pStyle w:val="2"/>
        <w:keepNext w:val="0"/>
        <w:keepLines w:val="0"/>
        <w:widowControl/>
        <w:suppressLineNumbers w:val="0"/>
        <w:ind w:left="0" w:firstLine="640"/>
      </w:pPr>
      <w:r>
        <w:rPr>
          <w:rFonts w:hint="default" w:ascii="方正楷体简体" w:hAnsi="方正楷体简体" w:eastAsia="方正楷体简体" w:cs="方正楷体简体"/>
          <w:b/>
          <w:bCs/>
          <w:color w:val="000000"/>
          <w:sz w:val="31"/>
          <w:szCs w:val="31"/>
        </w:rPr>
        <w:t>（三）政府信息管理情况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0"/>
        <w:textAlignment w:val="auto"/>
        <w:rPr>
          <w:rFonts w:hint="default" w:ascii="仿宋" w:hAnsi="仿宋" w:eastAsia="仿宋" w:cs="仿宋"/>
          <w:b w:val="0"/>
          <w:bCs w:val="0"/>
          <w:color w:val="000000"/>
          <w:sz w:val="31"/>
          <w:szCs w:val="31"/>
          <w:lang w:val="en-US" w:eastAsia="zh-CN"/>
        </w:rPr>
      </w:pPr>
      <w:r>
        <w:rPr>
          <w:rFonts w:hint="default" w:ascii="仿宋" w:hAnsi="仿宋" w:eastAsia="仿宋" w:cs="仿宋"/>
          <w:b w:val="0"/>
          <w:bCs w:val="0"/>
          <w:color w:val="000000"/>
          <w:sz w:val="31"/>
          <w:szCs w:val="31"/>
          <w:lang w:val="en-US" w:eastAsia="zh-CN"/>
        </w:rPr>
        <w:t>已制定信息公开</w:t>
      </w:r>
      <w:r>
        <w:rPr>
          <w:rFonts w:hint="eastAsia" w:ascii="仿宋" w:hAnsi="仿宋" w:eastAsia="仿宋" w:cs="仿宋"/>
          <w:b w:val="0"/>
          <w:bCs w:val="0"/>
          <w:color w:val="000000"/>
          <w:sz w:val="31"/>
          <w:szCs w:val="31"/>
          <w:lang w:val="en-US" w:eastAsia="zh-CN"/>
        </w:rPr>
        <w:t>相关</w:t>
      </w:r>
      <w:r>
        <w:rPr>
          <w:rFonts w:hint="default" w:ascii="仿宋" w:hAnsi="仿宋" w:eastAsia="仿宋" w:cs="仿宋"/>
          <w:b w:val="0"/>
          <w:bCs w:val="0"/>
          <w:color w:val="000000"/>
          <w:sz w:val="31"/>
          <w:szCs w:val="31"/>
          <w:lang w:val="en-US" w:eastAsia="zh-CN"/>
        </w:rPr>
        <w:t>管理制度，</w:t>
      </w:r>
      <w:r>
        <w:rPr>
          <w:rFonts w:hint="eastAsia" w:ascii="仿宋" w:hAnsi="仿宋" w:eastAsia="仿宋" w:cs="仿宋"/>
          <w:b w:val="0"/>
          <w:bCs w:val="0"/>
          <w:color w:val="000000"/>
          <w:sz w:val="31"/>
          <w:szCs w:val="31"/>
          <w:lang w:val="en-US" w:eastAsia="zh-CN"/>
        </w:rPr>
        <w:t>并</w:t>
      </w:r>
      <w:r>
        <w:rPr>
          <w:rFonts w:hint="default" w:ascii="仿宋" w:hAnsi="仿宋" w:eastAsia="仿宋" w:cs="仿宋"/>
          <w:b w:val="0"/>
          <w:bCs w:val="0"/>
          <w:color w:val="000000"/>
          <w:sz w:val="31"/>
          <w:szCs w:val="31"/>
          <w:lang w:val="en-US" w:eastAsia="zh-CN"/>
        </w:rPr>
        <w:t>按规定执行。暂无政府信息管理动态调整机制，</w:t>
      </w:r>
      <w:r>
        <w:rPr>
          <w:rFonts w:hint="eastAsia" w:ascii="仿宋" w:hAnsi="仿宋" w:eastAsia="仿宋" w:cs="仿宋"/>
          <w:b w:val="0"/>
          <w:bCs w:val="0"/>
          <w:color w:val="000000"/>
          <w:sz w:val="31"/>
          <w:szCs w:val="31"/>
          <w:lang w:val="en-US" w:eastAsia="zh-CN"/>
        </w:rPr>
        <w:t>未制定</w:t>
      </w:r>
      <w:r>
        <w:rPr>
          <w:rFonts w:hint="default" w:ascii="仿宋" w:hAnsi="仿宋" w:eastAsia="仿宋" w:cs="仿宋"/>
          <w:b w:val="0"/>
          <w:bCs w:val="0"/>
          <w:color w:val="000000"/>
          <w:sz w:val="31"/>
          <w:szCs w:val="31"/>
          <w:lang w:val="en-US" w:eastAsia="zh-CN"/>
        </w:rPr>
        <w:t>规范性文件，</w:t>
      </w:r>
      <w:r>
        <w:rPr>
          <w:rFonts w:hint="eastAsia" w:ascii="仿宋" w:hAnsi="仿宋" w:eastAsia="仿宋" w:cs="仿宋"/>
          <w:b w:val="0"/>
          <w:bCs w:val="0"/>
          <w:color w:val="000000"/>
          <w:sz w:val="31"/>
          <w:szCs w:val="31"/>
          <w:lang w:val="en-US" w:eastAsia="zh-CN"/>
        </w:rPr>
        <w:t>无</w:t>
      </w:r>
      <w:r>
        <w:rPr>
          <w:rFonts w:hint="default" w:ascii="仿宋" w:hAnsi="仿宋" w:eastAsia="仿宋" w:cs="仿宋"/>
          <w:b w:val="0"/>
          <w:bCs w:val="0"/>
          <w:color w:val="000000"/>
          <w:sz w:val="31"/>
          <w:szCs w:val="31"/>
          <w:lang w:val="en-US" w:eastAsia="zh-CN"/>
        </w:rPr>
        <w:t>政府信息创新情况等。</w:t>
      </w:r>
    </w:p>
    <w:p>
      <w:pPr>
        <w:pStyle w:val="2"/>
        <w:keepNext w:val="0"/>
        <w:keepLines w:val="0"/>
        <w:pageBreakBefore w:val="0"/>
        <w:widowControl/>
        <w:suppressLineNumbers w:val="0"/>
        <w:kinsoku/>
        <w:wordWrap/>
        <w:overflowPunct/>
        <w:topLinePunct w:val="0"/>
        <w:autoSpaceDE/>
        <w:autoSpaceDN/>
        <w:bidi w:val="0"/>
        <w:adjustRightInd/>
        <w:snapToGrid/>
        <w:ind w:left="0" w:firstLine="567"/>
        <w:textAlignment w:val="auto"/>
      </w:pPr>
      <w:r>
        <w:rPr>
          <w:rFonts w:hint="default" w:ascii="方正楷体简体" w:hAnsi="方正楷体简体" w:eastAsia="方正楷体简体" w:cs="方正楷体简体"/>
          <w:b/>
          <w:bCs/>
          <w:color w:val="000000"/>
          <w:sz w:val="31"/>
          <w:szCs w:val="31"/>
        </w:rPr>
        <w:t>（四）政府信息公开平台建设情况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0"/>
        <w:textAlignment w:val="auto"/>
        <w:rPr>
          <w:rFonts w:hint="eastAsia" w:ascii="仿宋" w:hAnsi="仿宋" w:eastAsia="仿宋" w:cs="仿宋"/>
          <w:b w:val="0"/>
          <w:bCs w:val="0"/>
          <w:color w:val="000000"/>
          <w:sz w:val="31"/>
          <w:szCs w:val="31"/>
          <w:lang w:val="en-US" w:eastAsia="zh-CN"/>
        </w:rPr>
      </w:pPr>
      <w:r>
        <w:rPr>
          <w:rFonts w:hint="eastAsia" w:ascii="仿宋" w:hAnsi="仿宋" w:eastAsia="仿宋" w:cs="仿宋"/>
          <w:b w:val="0"/>
          <w:bCs w:val="0"/>
          <w:color w:val="000000"/>
          <w:sz w:val="31"/>
          <w:szCs w:val="31"/>
          <w:lang w:val="en-US" w:eastAsia="zh-CN"/>
        </w:rPr>
        <w:t>以部门</w:t>
      </w:r>
      <w:r>
        <w:rPr>
          <w:rFonts w:hint="default" w:ascii="仿宋" w:hAnsi="仿宋" w:eastAsia="仿宋" w:cs="仿宋"/>
          <w:b w:val="0"/>
          <w:bCs w:val="0"/>
          <w:color w:val="000000"/>
          <w:sz w:val="31"/>
          <w:szCs w:val="31"/>
          <w:lang w:val="en-US" w:eastAsia="zh-CN"/>
        </w:rPr>
        <w:t>网站</w:t>
      </w:r>
      <w:r>
        <w:rPr>
          <w:rFonts w:hint="eastAsia" w:ascii="仿宋" w:hAnsi="仿宋" w:eastAsia="仿宋" w:cs="仿宋"/>
          <w:b w:val="0"/>
          <w:bCs w:val="0"/>
          <w:color w:val="000000"/>
          <w:sz w:val="31"/>
          <w:szCs w:val="31"/>
          <w:lang w:val="en-US" w:eastAsia="zh-CN"/>
        </w:rPr>
        <w:t>为主要平台，开设</w:t>
      </w:r>
      <w:r>
        <w:rPr>
          <w:rFonts w:hint="default" w:ascii="仿宋" w:hAnsi="仿宋" w:eastAsia="仿宋" w:cs="仿宋"/>
          <w:b w:val="0"/>
          <w:bCs w:val="0"/>
          <w:color w:val="000000"/>
          <w:sz w:val="31"/>
          <w:szCs w:val="31"/>
          <w:lang w:val="en-US" w:eastAsia="zh-CN"/>
        </w:rPr>
        <w:t>政府信息公开专栏</w:t>
      </w:r>
      <w:r>
        <w:rPr>
          <w:rFonts w:hint="eastAsia" w:ascii="仿宋" w:hAnsi="仿宋" w:eastAsia="仿宋" w:cs="仿宋"/>
          <w:b w:val="0"/>
          <w:bCs w:val="0"/>
          <w:color w:val="000000"/>
          <w:sz w:val="31"/>
          <w:szCs w:val="31"/>
          <w:lang w:val="en-US" w:eastAsia="zh-CN"/>
        </w:rPr>
        <w:t>，在不动产登记大厅设置</w:t>
      </w:r>
      <w:r>
        <w:rPr>
          <w:rFonts w:hint="default" w:ascii="仿宋" w:hAnsi="仿宋" w:eastAsia="仿宋" w:cs="仿宋"/>
          <w:b w:val="0"/>
          <w:bCs w:val="0"/>
          <w:color w:val="000000"/>
          <w:sz w:val="31"/>
          <w:szCs w:val="31"/>
          <w:lang w:val="en-US" w:eastAsia="zh-CN"/>
        </w:rPr>
        <w:t>政府信息公开查阅场所</w:t>
      </w:r>
      <w:r>
        <w:rPr>
          <w:rFonts w:hint="eastAsia" w:ascii="仿宋" w:hAnsi="仿宋" w:eastAsia="仿宋" w:cs="仿宋"/>
          <w:b w:val="0"/>
          <w:bCs w:val="0"/>
          <w:color w:val="000000"/>
          <w:sz w:val="31"/>
          <w:szCs w:val="31"/>
          <w:lang w:val="en-US" w:eastAsia="zh-CN"/>
        </w:rPr>
        <w:t>，无微信公众号、抖音官方号等</w:t>
      </w:r>
      <w:r>
        <w:rPr>
          <w:rFonts w:hint="default" w:ascii="仿宋" w:hAnsi="仿宋" w:eastAsia="仿宋" w:cs="仿宋"/>
          <w:b w:val="0"/>
          <w:bCs w:val="0"/>
          <w:color w:val="000000"/>
          <w:sz w:val="31"/>
          <w:szCs w:val="31"/>
          <w:lang w:val="en-US" w:eastAsia="zh-CN"/>
        </w:rPr>
        <w:t>政务新媒体</w:t>
      </w:r>
      <w:r>
        <w:rPr>
          <w:rFonts w:hint="eastAsia" w:ascii="仿宋" w:hAnsi="仿宋" w:eastAsia="仿宋" w:cs="仿宋"/>
          <w:b w:val="0"/>
          <w:bCs w:val="0"/>
          <w:color w:val="000000"/>
          <w:sz w:val="31"/>
          <w:szCs w:val="31"/>
          <w:lang w:val="en-US" w:eastAsia="zh-CN"/>
        </w:rPr>
        <w:t>。</w:t>
      </w:r>
    </w:p>
    <w:p>
      <w:pPr>
        <w:pStyle w:val="2"/>
        <w:keepNext w:val="0"/>
        <w:keepLines w:val="0"/>
        <w:widowControl/>
        <w:suppressLineNumbers w:val="0"/>
        <w:ind w:left="0" w:firstLine="640"/>
      </w:pPr>
      <w:r>
        <w:rPr>
          <w:rFonts w:hint="default" w:ascii="方正楷体简体" w:hAnsi="方正楷体简体" w:eastAsia="方正楷体简体" w:cs="方正楷体简体"/>
          <w:b/>
          <w:bCs/>
          <w:color w:val="000000"/>
          <w:sz w:val="31"/>
          <w:szCs w:val="31"/>
        </w:rPr>
        <w:t>（五）监督保障情况</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0"/>
        <w:textAlignment w:val="auto"/>
        <w:rPr>
          <w:rFonts w:hint="default" w:ascii="仿宋" w:hAnsi="仿宋" w:eastAsia="仿宋" w:cs="仿宋"/>
          <w:b w:val="0"/>
          <w:bCs w:val="0"/>
          <w:color w:val="000000"/>
          <w:sz w:val="31"/>
          <w:szCs w:val="31"/>
        </w:rPr>
      </w:pPr>
      <w:r>
        <w:rPr>
          <w:rFonts w:hint="eastAsia" w:ascii="仿宋" w:hAnsi="仿宋" w:eastAsia="仿宋" w:cs="仿宋"/>
          <w:b w:val="0"/>
          <w:bCs w:val="0"/>
          <w:color w:val="000000"/>
          <w:sz w:val="31"/>
          <w:szCs w:val="31"/>
          <w:lang w:val="en-US" w:eastAsia="zh-CN"/>
        </w:rPr>
        <w:t>我单位设立政务信息公开工作领导小组统筹监督指导全局信息公开工作，具体事项由测绘地理信息科负责，其中2人兼职信息公开工作</w:t>
      </w:r>
      <w:r>
        <w:rPr>
          <w:rFonts w:hint="eastAsia" w:ascii="仿宋" w:hAnsi="仿宋" w:eastAsia="仿宋" w:cs="仿宋"/>
          <w:b w:val="0"/>
          <w:bCs w:val="0"/>
          <w:color w:val="000000"/>
          <w:sz w:val="31"/>
          <w:szCs w:val="31"/>
          <w:lang w:eastAsia="zh-CN"/>
        </w:rPr>
        <w:t>。</w:t>
      </w:r>
      <w:r>
        <w:rPr>
          <w:rFonts w:hint="eastAsia" w:ascii="仿宋" w:hAnsi="仿宋" w:eastAsia="仿宋" w:cs="仿宋"/>
          <w:b w:val="0"/>
          <w:bCs w:val="0"/>
          <w:color w:val="000000"/>
          <w:sz w:val="31"/>
          <w:szCs w:val="31"/>
          <w:lang w:val="en-US" w:eastAsia="zh-CN"/>
        </w:rPr>
        <w:t>本年度开展</w:t>
      </w:r>
      <w:r>
        <w:rPr>
          <w:rFonts w:hint="default" w:ascii="仿宋" w:hAnsi="仿宋" w:eastAsia="仿宋" w:cs="仿宋"/>
          <w:b w:val="0"/>
          <w:bCs w:val="0"/>
          <w:color w:val="000000"/>
          <w:sz w:val="31"/>
          <w:szCs w:val="31"/>
        </w:rPr>
        <w:t>业务培训</w:t>
      </w:r>
      <w:r>
        <w:rPr>
          <w:rFonts w:hint="eastAsia" w:ascii="仿宋" w:hAnsi="仿宋" w:eastAsia="仿宋" w:cs="仿宋"/>
          <w:b w:val="0"/>
          <w:bCs w:val="0"/>
          <w:color w:val="000000"/>
          <w:sz w:val="31"/>
          <w:szCs w:val="31"/>
          <w:lang w:val="en-US" w:eastAsia="zh-CN"/>
        </w:rPr>
        <w:t>2人次</w:t>
      </w:r>
      <w:r>
        <w:rPr>
          <w:rFonts w:hint="default" w:ascii="仿宋" w:hAnsi="仿宋" w:eastAsia="仿宋" w:cs="仿宋"/>
          <w:b w:val="0"/>
          <w:bCs w:val="0"/>
          <w:color w:val="000000"/>
          <w:sz w:val="31"/>
          <w:szCs w:val="31"/>
        </w:rPr>
        <w:t>。</w:t>
      </w:r>
    </w:p>
    <w:p>
      <w:pPr>
        <w:spacing w:line="590" w:lineRule="exact"/>
        <w:ind w:right="-105" w:rightChars="-50"/>
        <w:jc w:val="left"/>
        <w:rPr>
          <w:rFonts w:ascii="Times New Roman" w:hAnsi="Times New Roman" w:eastAsia="文星标宋"/>
          <w:b/>
          <w:color w:val="000000"/>
          <w:sz w:val="32"/>
          <w:szCs w:val="32"/>
        </w:rPr>
      </w:pPr>
      <w:r>
        <w:rPr>
          <w:rFonts w:hint="eastAsia" w:eastAsia="文星标宋"/>
          <w:b/>
          <w:color w:val="000000"/>
          <w:sz w:val="32"/>
          <w:szCs w:val="32"/>
          <w:lang w:val="en-US" w:eastAsia="zh-CN"/>
        </w:rPr>
        <w:t>二、</w:t>
      </w:r>
      <w:r>
        <w:rPr>
          <w:rFonts w:ascii="Times New Roman" w:hAnsi="Times New Roman" w:eastAsia="文星标宋"/>
          <w:b/>
          <w:color w:val="000000"/>
          <w:sz w:val="32"/>
          <w:szCs w:val="32"/>
        </w:rPr>
        <w:t>主动公开政府信息情况</w:t>
      </w:r>
    </w:p>
    <w:tbl>
      <w:tblPr>
        <w:tblStyle w:val="3"/>
        <w:tblW w:w="83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06"/>
        <w:gridCol w:w="2043"/>
        <w:gridCol w:w="2141"/>
        <w:gridCol w:w="19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324" w:type="dxa"/>
            <w:gridSpan w:val="4"/>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信息内容</w:t>
            </w:r>
          </w:p>
        </w:tc>
        <w:tc>
          <w:tcPr>
            <w:tcW w:w="2043"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本年制发件数</w:t>
            </w:r>
          </w:p>
        </w:tc>
        <w:tc>
          <w:tcPr>
            <w:tcW w:w="2141"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本年废止件数</w:t>
            </w:r>
          </w:p>
        </w:tc>
        <w:tc>
          <w:tcPr>
            <w:tcW w:w="1934"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规章</w:t>
            </w:r>
          </w:p>
        </w:tc>
        <w:tc>
          <w:tcPr>
            <w:tcW w:w="2043" w:type="dxa"/>
            <w:shd w:val="clear" w:color="auto" w:fill="FFFFFF" w:themeFill="background1"/>
            <w:vAlign w:val="center"/>
          </w:tcPr>
          <w:p>
            <w:pPr>
              <w:widowControl/>
              <w:spacing w:line="340" w:lineRule="exact"/>
              <w:ind w:left="0" w:leftChars="0" w:right="0" w:rightChars="0"/>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0</w:t>
            </w:r>
          </w:p>
        </w:tc>
        <w:tc>
          <w:tcPr>
            <w:tcW w:w="2141" w:type="dxa"/>
            <w:shd w:val="clear" w:color="auto" w:fill="FFFFFF" w:themeFill="background1"/>
            <w:vAlign w:val="center"/>
          </w:tcPr>
          <w:p>
            <w:pPr>
              <w:widowControl/>
              <w:spacing w:line="340" w:lineRule="exact"/>
              <w:ind w:left="0" w:leftChars="0" w:right="0" w:rightChars="0"/>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0</w:t>
            </w:r>
          </w:p>
        </w:tc>
        <w:tc>
          <w:tcPr>
            <w:tcW w:w="1934" w:type="dxa"/>
            <w:shd w:val="clear" w:color="auto" w:fill="FFFFFF" w:themeFill="background1"/>
            <w:vAlign w:val="center"/>
          </w:tcPr>
          <w:p>
            <w:pPr>
              <w:widowControl/>
              <w:spacing w:line="340" w:lineRule="exact"/>
              <w:ind w:left="0" w:leftChars="0" w:right="0" w:rightChars="0"/>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行政规范性文件</w:t>
            </w:r>
          </w:p>
        </w:tc>
        <w:tc>
          <w:tcPr>
            <w:tcW w:w="2043" w:type="dxa"/>
            <w:shd w:val="clear" w:color="auto" w:fill="FFFFFF" w:themeFill="background1"/>
            <w:vAlign w:val="center"/>
          </w:tcPr>
          <w:p>
            <w:pPr>
              <w:widowControl/>
              <w:spacing w:line="340" w:lineRule="exact"/>
              <w:ind w:left="0" w:leftChars="0" w:right="0" w:rightChars="0"/>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0</w:t>
            </w:r>
          </w:p>
        </w:tc>
        <w:tc>
          <w:tcPr>
            <w:tcW w:w="2141" w:type="dxa"/>
            <w:shd w:val="clear" w:color="auto" w:fill="FFFFFF" w:themeFill="background1"/>
            <w:vAlign w:val="center"/>
          </w:tcPr>
          <w:p>
            <w:pPr>
              <w:widowControl/>
              <w:spacing w:line="340" w:lineRule="exact"/>
              <w:ind w:left="0" w:leftChars="0" w:right="0" w:rightChars="0"/>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0</w:t>
            </w:r>
          </w:p>
        </w:tc>
        <w:tc>
          <w:tcPr>
            <w:tcW w:w="1934" w:type="dxa"/>
            <w:shd w:val="clear" w:color="auto" w:fill="FFFFFF" w:themeFill="background1"/>
            <w:vAlign w:val="center"/>
          </w:tcPr>
          <w:p>
            <w:pPr>
              <w:widowControl/>
              <w:spacing w:line="340" w:lineRule="exact"/>
              <w:ind w:left="0" w:leftChars="0" w:right="0" w:rightChars="0"/>
              <w:jc w:val="center"/>
              <w:rPr>
                <w:rFonts w:hint="eastAsia" w:ascii="仿宋" w:hAnsi="仿宋" w:eastAsia="仿宋" w:cs="仿宋"/>
                <w:b w:val="0"/>
                <w:bCs/>
                <w:color w:val="000000"/>
                <w:sz w:val="24"/>
                <w:szCs w:val="24"/>
                <w:lang w:eastAsia="zh-CN"/>
              </w:rPr>
            </w:pPr>
            <w:r>
              <w:rPr>
                <w:rFonts w:hint="eastAsia" w:ascii="仿宋" w:hAnsi="仿宋" w:eastAsia="仿宋" w:cs="仿宋"/>
                <w:b w:val="0"/>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324" w:type="dxa"/>
            <w:gridSpan w:val="4"/>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信息内容</w:t>
            </w:r>
          </w:p>
        </w:tc>
        <w:tc>
          <w:tcPr>
            <w:tcW w:w="6118" w:type="dxa"/>
            <w:gridSpan w:val="3"/>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行政许可</w:t>
            </w:r>
          </w:p>
        </w:tc>
        <w:tc>
          <w:tcPr>
            <w:tcW w:w="6118" w:type="dxa"/>
            <w:gridSpan w:val="3"/>
            <w:shd w:val="clear" w:color="auto" w:fill="FFFFFF" w:themeFill="background1"/>
            <w:vAlign w:val="center"/>
          </w:tcPr>
          <w:p>
            <w:pPr>
              <w:widowControl/>
              <w:spacing w:line="340" w:lineRule="exact"/>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324" w:type="dxa"/>
            <w:gridSpan w:val="4"/>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信息内容</w:t>
            </w:r>
          </w:p>
        </w:tc>
        <w:tc>
          <w:tcPr>
            <w:tcW w:w="6118" w:type="dxa"/>
            <w:gridSpan w:val="3"/>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行政处罚</w:t>
            </w:r>
          </w:p>
        </w:tc>
        <w:tc>
          <w:tcPr>
            <w:tcW w:w="6118" w:type="dxa"/>
            <w:gridSpan w:val="3"/>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行政强制</w:t>
            </w:r>
          </w:p>
        </w:tc>
        <w:tc>
          <w:tcPr>
            <w:tcW w:w="6118" w:type="dxa"/>
            <w:gridSpan w:val="3"/>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324" w:type="dxa"/>
            <w:gridSpan w:val="4"/>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信息内容</w:t>
            </w:r>
          </w:p>
        </w:tc>
        <w:tc>
          <w:tcPr>
            <w:tcW w:w="6118" w:type="dxa"/>
            <w:gridSpan w:val="3"/>
            <w:shd w:val="clear" w:color="auto" w:fill="FFFFFF" w:themeFill="background1"/>
            <w:vAlign w:val="center"/>
          </w:tcPr>
          <w:p>
            <w:pPr>
              <w:widowControl/>
              <w:spacing w:line="340" w:lineRule="exact"/>
              <w:jc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行政事业性收费</w:t>
            </w:r>
          </w:p>
        </w:tc>
        <w:tc>
          <w:tcPr>
            <w:tcW w:w="6118" w:type="dxa"/>
            <w:gridSpan w:val="3"/>
            <w:shd w:val="clear" w:color="auto" w:fill="FFFFFF" w:themeFill="background1"/>
            <w:vAlign w:val="center"/>
          </w:tcPr>
          <w:p>
            <w:pPr>
              <w:widowControl/>
              <w:spacing w:line="340" w:lineRule="exact"/>
              <w:jc w:val="center"/>
              <w:rPr>
                <w:rFonts w:hint="default"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49.349</w:t>
            </w:r>
          </w:p>
        </w:tc>
      </w:tr>
    </w:tbl>
    <w:p>
      <w:pPr>
        <w:spacing w:line="590" w:lineRule="exact"/>
        <w:ind w:right="-105" w:rightChars="-50"/>
        <w:jc w:val="both"/>
        <w:rPr>
          <w:rFonts w:ascii="Times New Roman" w:hAnsi="Times New Roman" w:eastAsia="文星黑体"/>
          <w:b/>
          <w:color w:val="000000"/>
          <w:sz w:val="32"/>
          <w:szCs w:val="32"/>
        </w:rPr>
      </w:pPr>
      <w:r>
        <w:rPr>
          <w:rFonts w:ascii="方正黑体简体" w:hAnsi="方正黑体简体" w:eastAsia="方正黑体简体" w:cs="方正黑体简体"/>
          <w:b/>
          <w:bCs/>
          <w:color w:val="000000"/>
          <w:sz w:val="31"/>
          <w:szCs w:val="31"/>
        </w:rPr>
        <w:t>三、收到和处理政府信息公开申请情况</w:t>
      </w:r>
    </w:p>
    <w:p>
      <w:pPr>
        <w:spacing w:line="240" w:lineRule="exact"/>
        <w:ind w:right="-105" w:rightChars="-50"/>
        <w:jc w:val="center"/>
        <w:rPr>
          <w:rFonts w:ascii="Times New Roman" w:hAnsi="Times New Roman" w:eastAsia="文星仿宋"/>
          <w:b/>
          <w:color w:val="000000"/>
          <w:sz w:val="32"/>
          <w:szCs w:val="32"/>
        </w:rPr>
      </w:pPr>
    </w:p>
    <w:tbl>
      <w:tblPr>
        <w:tblStyle w:val="3"/>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5"/>
        <w:gridCol w:w="819"/>
        <w:gridCol w:w="2932"/>
        <w:gridCol w:w="620"/>
        <w:gridCol w:w="654"/>
        <w:gridCol w:w="627"/>
        <w:gridCol w:w="573"/>
        <w:gridCol w:w="559"/>
        <w:gridCol w:w="518"/>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86" w:type="dxa"/>
            <w:gridSpan w:val="3"/>
            <w:vMerge w:val="restart"/>
            <w:shd w:val="clear" w:color="auto" w:fill="auto"/>
            <w:tcMar>
              <w:left w:w="108" w:type="dxa"/>
              <w:right w:w="108" w:type="dxa"/>
            </w:tcMar>
            <w:vAlign w:val="center"/>
          </w:tcPr>
          <w:p>
            <w:pPr>
              <w:widowControl/>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（本列数据的勾稽关系为：第一项加第二项之和，</w:t>
            </w:r>
          </w:p>
          <w:p>
            <w:pPr>
              <w:widowControl/>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等于第三项加第四项之和）</w:t>
            </w:r>
          </w:p>
        </w:tc>
        <w:tc>
          <w:tcPr>
            <w:tcW w:w="4097" w:type="dxa"/>
            <w:gridSpan w:val="7"/>
            <w:shd w:val="clear" w:color="auto" w:fill="auto"/>
            <w:tcMar>
              <w:left w:w="108" w:type="dxa"/>
              <w:right w:w="108" w:type="dxa"/>
            </w:tcMar>
            <w:vAlign w:val="center"/>
          </w:tcPr>
          <w:p>
            <w:pPr>
              <w:widowControl/>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86" w:type="dxa"/>
            <w:gridSpan w:val="3"/>
            <w:vMerge w:val="continue"/>
            <w:shd w:val="clear" w:color="auto" w:fill="auto"/>
            <w:tcMar>
              <w:left w:w="108" w:type="dxa"/>
              <w:right w:w="108" w:type="dxa"/>
            </w:tcMar>
            <w:vAlign w:val="center"/>
          </w:tcPr>
          <w:p>
            <w:pPr>
              <w:widowControl/>
              <w:spacing w:line="400" w:lineRule="exact"/>
              <w:jc w:val="center"/>
              <w:rPr>
                <w:rFonts w:hint="eastAsia" w:ascii="仿宋" w:hAnsi="仿宋" w:eastAsia="仿宋" w:cs="仿宋"/>
                <w:b w:val="0"/>
                <w:bCs/>
                <w:sz w:val="24"/>
                <w:szCs w:val="24"/>
              </w:rPr>
            </w:pPr>
          </w:p>
        </w:tc>
        <w:tc>
          <w:tcPr>
            <w:tcW w:w="620" w:type="dxa"/>
            <w:vMerge w:val="restart"/>
            <w:shd w:val="clear" w:color="auto" w:fill="auto"/>
            <w:tcMar>
              <w:left w:w="108" w:type="dxa"/>
              <w:right w:w="108" w:type="dxa"/>
            </w:tcMar>
            <w:vAlign w:val="center"/>
          </w:tcPr>
          <w:p>
            <w:pPr>
              <w:widowControl/>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自然人</w:t>
            </w:r>
          </w:p>
        </w:tc>
        <w:tc>
          <w:tcPr>
            <w:tcW w:w="2931" w:type="dxa"/>
            <w:gridSpan w:val="5"/>
            <w:shd w:val="clear" w:color="auto" w:fill="auto"/>
            <w:tcMar>
              <w:left w:w="108" w:type="dxa"/>
              <w:right w:w="108" w:type="dxa"/>
            </w:tcMar>
            <w:vAlign w:val="center"/>
          </w:tcPr>
          <w:p>
            <w:pPr>
              <w:widowControl/>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法人或其他组织</w:t>
            </w:r>
          </w:p>
        </w:tc>
        <w:tc>
          <w:tcPr>
            <w:tcW w:w="546" w:type="dxa"/>
            <w:vMerge w:val="restart"/>
            <w:shd w:val="clear" w:color="auto" w:fill="auto"/>
            <w:tcMar>
              <w:left w:w="108" w:type="dxa"/>
              <w:right w:w="108" w:type="dxa"/>
            </w:tcMar>
            <w:vAlign w:val="center"/>
          </w:tcPr>
          <w:p>
            <w:pPr>
              <w:widowControl/>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4386" w:type="dxa"/>
            <w:gridSpan w:val="3"/>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620" w:type="dxa"/>
            <w:vMerge w:val="continue"/>
            <w:shd w:val="clear" w:color="auto" w:fill="auto"/>
            <w:tcMar>
              <w:left w:w="108" w:type="dxa"/>
              <w:right w:w="108" w:type="dxa"/>
            </w:tcMar>
            <w:vAlign w:val="center"/>
          </w:tcPr>
          <w:p>
            <w:pPr>
              <w:spacing w:line="260" w:lineRule="exact"/>
              <w:jc w:val="center"/>
              <w:rPr>
                <w:rFonts w:hint="eastAsia" w:ascii="仿宋" w:hAnsi="仿宋" w:eastAsia="仿宋" w:cs="仿宋"/>
                <w:b w:val="0"/>
                <w:bCs/>
                <w:sz w:val="24"/>
                <w:szCs w:val="24"/>
              </w:rPr>
            </w:pPr>
          </w:p>
        </w:tc>
        <w:tc>
          <w:tcPr>
            <w:tcW w:w="654" w:type="dxa"/>
            <w:shd w:val="clear" w:color="auto" w:fill="auto"/>
            <w:tcMar>
              <w:left w:w="108" w:type="dxa"/>
              <w:right w:w="108" w:type="dxa"/>
            </w:tcMar>
            <w:vAlign w:val="center"/>
          </w:tcPr>
          <w:p>
            <w:pPr>
              <w:widowControl/>
              <w:spacing w:line="260" w:lineRule="exact"/>
              <w:ind w:left="-106" w:leftChars="-51" w:right="-107" w:rightChars="-51" w:hanging="1"/>
              <w:jc w:val="center"/>
              <w:rPr>
                <w:rFonts w:hint="eastAsia" w:ascii="仿宋" w:hAnsi="仿宋" w:eastAsia="仿宋" w:cs="仿宋"/>
                <w:b w:val="0"/>
                <w:bCs/>
                <w:sz w:val="24"/>
                <w:szCs w:val="24"/>
              </w:rPr>
            </w:pPr>
            <w:r>
              <w:rPr>
                <w:rFonts w:hint="eastAsia" w:ascii="仿宋" w:hAnsi="仿宋" w:eastAsia="仿宋" w:cs="仿宋"/>
                <w:b w:val="0"/>
                <w:bCs/>
                <w:sz w:val="24"/>
                <w:szCs w:val="24"/>
              </w:rPr>
              <w:t>商业企业</w:t>
            </w:r>
          </w:p>
        </w:tc>
        <w:tc>
          <w:tcPr>
            <w:tcW w:w="627" w:type="dxa"/>
            <w:shd w:val="clear" w:color="auto" w:fill="auto"/>
            <w:tcMar>
              <w:left w:w="108" w:type="dxa"/>
              <w:right w:w="108" w:type="dxa"/>
            </w:tcMar>
            <w:vAlign w:val="center"/>
          </w:tcPr>
          <w:p>
            <w:pPr>
              <w:widowControl/>
              <w:spacing w:line="260" w:lineRule="exact"/>
              <w:ind w:left="-107" w:leftChars="-51" w:right="-107" w:rightChars="-51"/>
              <w:jc w:val="center"/>
              <w:rPr>
                <w:rFonts w:hint="eastAsia" w:ascii="仿宋" w:hAnsi="仿宋" w:eastAsia="仿宋" w:cs="仿宋"/>
                <w:b w:val="0"/>
                <w:bCs/>
                <w:sz w:val="24"/>
                <w:szCs w:val="24"/>
              </w:rPr>
            </w:pPr>
            <w:r>
              <w:rPr>
                <w:rFonts w:hint="eastAsia" w:ascii="仿宋" w:hAnsi="仿宋" w:eastAsia="仿宋" w:cs="仿宋"/>
                <w:b w:val="0"/>
                <w:bCs/>
                <w:sz w:val="24"/>
                <w:szCs w:val="24"/>
              </w:rPr>
              <w:t>科研机构</w:t>
            </w:r>
          </w:p>
        </w:tc>
        <w:tc>
          <w:tcPr>
            <w:tcW w:w="573" w:type="dxa"/>
            <w:shd w:val="clear" w:color="auto" w:fill="auto"/>
            <w:tcMar>
              <w:left w:w="108" w:type="dxa"/>
              <w:right w:w="108" w:type="dxa"/>
            </w:tcMar>
            <w:vAlign w:val="center"/>
          </w:tcPr>
          <w:p>
            <w:pPr>
              <w:widowControl/>
              <w:spacing w:line="260" w:lineRule="exact"/>
              <w:ind w:left="-107" w:leftChars="-51" w:right="-107" w:rightChars="-51"/>
              <w:jc w:val="center"/>
              <w:rPr>
                <w:rFonts w:hint="eastAsia" w:ascii="仿宋" w:hAnsi="仿宋" w:eastAsia="仿宋" w:cs="仿宋"/>
                <w:b w:val="0"/>
                <w:bCs/>
                <w:sz w:val="24"/>
                <w:szCs w:val="24"/>
              </w:rPr>
            </w:pPr>
            <w:r>
              <w:rPr>
                <w:rFonts w:hint="eastAsia" w:ascii="仿宋" w:hAnsi="仿宋" w:eastAsia="仿宋" w:cs="仿宋"/>
                <w:b w:val="0"/>
                <w:bCs/>
                <w:sz w:val="24"/>
                <w:szCs w:val="24"/>
              </w:rPr>
              <w:t>社会公益组织</w:t>
            </w:r>
          </w:p>
        </w:tc>
        <w:tc>
          <w:tcPr>
            <w:tcW w:w="559" w:type="dxa"/>
            <w:shd w:val="clear" w:color="auto" w:fill="auto"/>
            <w:tcMar>
              <w:left w:w="108" w:type="dxa"/>
              <w:right w:w="108" w:type="dxa"/>
            </w:tcMar>
            <w:vAlign w:val="center"/>
          </w:tcPr>
          <w:p>
            <w:pPr>
              <w:widowControl/>
              <w:spacing w:line="260" w:lineRule="exact"/>
              <w:ind w:left="-106" w:leftChars="-51" w:right="-107" w:rightChars="-51" w:hanging="1"/>
              <w:jc w:val="center"/>
              <w:rPr>
                <w:rFonts w:hint="eastAsia" w:ascii="仿宋" w:hAnsi="仿宋" w:eastAsia="仿宋" w:cs="仿宋"/>
                <w:b w:val="0"/>
                <w:bCs/>
                <w:sz w:val="24"/>
                <w:szCs w:val="24"/>
              </w:rPr>
            </w:pPr>
            <w:r>
              <w:rPr>
                <w:rFonts w:hint="eastAsia" w:ascii="仿宋" w:hAnsi="仿宋" w:eastAsia="仿宋" w:cs="仿宋"/>
                <w:b w:val="0"/>
                <w:bCs/>
                <w:sz w:val="24"/>
                <w:szCs w:val="24"/>
              </w:rPr>
              <w:t>法律服务机构</w:t>
            </w:r>
          </w:p>
        </w:tc>
        <w:tc>
          <w:tcPr>
            <w:tcW w:w="518" w:type="dxa"/>
            <w:shd w:val="clear" w:color="auto" w:fill="auto"/>
            <w:tcMar>
              <w:left w:w="108" w:type="dxa"/>
              <w:right w:w="108" w:type="dxa"/>
            </w:tcMar>
            <w:vAlign w:val="center"/>
          </w:tcPr>
          <w:p>
            <w:pPr>
              <w:widowControl/>
              <w:spacing w:line="260" w:lineRule="exact"/>
              <w:ind w:left="-63" w:leftChars="-30" w:right="-134" w:rightChars="-64"/>
              <w:jc w:val="center"/>
              <w:rPr>
                <w:rFonts w:hint="eastAsia" w:ascii="仿宋" w:hAnsi="仿宋" w:eastAsia="仿宋" w:cs="仿宋"/>
                <w:b w:val="0"/>
                <w:bCs/>
                <w:sz w:val="24"/>
                <w:szCs w:val="24"/>
              </w:rPr>
            </w:pPr>
            <w:r>
              <w:rPr>
                <w:rFonts w:hint="eastAsia" w:ascii="仿宋" w:hAnsi="仿宋" w:eastAsia="仿宋" w:cs="仿宋"/>
                <w:b w:val="0"/>
                <w:bCs/>
                <w:sz w:val="24"/>
                <w:szCs w:val="24"/>
              </w:rPr>
              <w:t>其他</w:t>
            </w:r>
          </w:p>
        </w:tc>
        <w:tc>
          <w:tcPr>
            <w:tcW w:w="546" w:type="dxa"/>
            <w:vMerge w:val="continue"/>
            <w:shd w:val="clear" w:color="auto" w:fill="auto"/>
            <w:tcMar>
              <w:left w:w="108" w:type="dxa"/>
              <w:right w:w="108" w:type="dxa"/>
            </w:tcMar>
            <w:vAlign w:val="center"/>
          </w:tcPr>
          <w:p>
            <w:pPr>
              <w:spacing w:line="260" w:lineRule="exact"/>
              <w:jc w:val="center"/>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386" w:type="dxa"/>
            <w:gridSpan w:val="3"/>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一、</w:t>
            </w:r>
            <w:bookmarkStart w:id="0" w:name="_Hlk66973412"/>
            <w:r>
              <w:rPr>
                <w:rFonts w:hint="eastAsia" w:ascii="仿宋" w:hAnsi="仿宋" w:eastAsia="仿宋" w:cs="仿宋"/>
                <w:b w:val="0"/>
                <w:bCs/>
                <w:sz w:val="24"/>
                <w:szCs w:val="24"/>
              </w:rPr>
              <w:t>本年新收政府信息公开申请数量</w:t>
            </w:r>
            <w:bookmarkEnd w:id="0"/>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default" w:ascii="仿宋" w:hAnsi="仿宋" w:eastAsia="仿宋" w:cs="仿宋"/>
                <w:b w:val="0"/>
                <w:bCs/>
                <w:sz w:val="24"/>
                <w:szCs w:val="24"/>
                <w:lang w:val="en-US"/>
              </w:rPr>
            </w:pPr>
            <w:r>
              <w:rPr>
                <w:rFonts w:hint="eastAsia" w:ascii="仿宋" w:hAnsi="仿宋" w:eastAsia="仿宋" w:cs="仿宋"/>
                <w:b w:val="0"/>
                <w:bCs/>
                <w:sz w:val="24"/>
                <w:szCs w:val="24"/>
                <w:lang w:val="en-US" w:eastAsia="zh-CN"/>
              </w:rPr>
              <w:t>13</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4386" w:type="dxa"/>
            <w:gridSpan w:val="3"/>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二、上年结转政府信息公开申请数量</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35" w:type="dxa"/>
            <w:vMerge w:val="restart"/>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三、本年度办理结果</w:t>
            </w:r>
          </w:p>
        </w:tc>
        <w:tc>
          <w:tcPr>
            <w:tcW w:w="3751" w:type="dxa"/>
            <w:gridSpan w:val="2"/>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（一）予以公开</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default" w:ascii="仿宋" w:hAnsi="仿宋" w:eastAsia="仿宋" w:cs="仿宋"/>
                <w:b w:val="0"/>
                <w:bCs/>
                <w:sz w:val="24"/>
                <w:szCs w:val="24"/>
                <w:lang w:val="en-US"/>
              </w:rPr>
            </w:pPr>
            <w:r>
              <w:rPr>
                <w:rFonts w:hint="eastAsia" w:ascii="仿宋" w:hAnsi="仿宋" w:eastAsia="仿宋" w:cs="仿宋"/>
                <w:b w:val="0"/>
                <w:bCs/>
                <w:sz w:val="24"/>
                <w:szCs w:val="24"/>
                <w:lang w:val="en-US" w:eastAsia="zh-CN"/>
              </w:rPr>
              <w:t>10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default" w:ascii="仿宋" w:hAnsi="仿宋" w:eastAsia="仿宋" w:cs="仿宋"/>
                <w:b w:val="0"/>
                <w:bCs/>
                <w:sz w:val="24"/>
                <w:szCs w:val="24"/>
                <w:lang w:val="en-US"/>
              </w:rPr>
            </w:pPr>
            <w:r>
              <w:rPr>
                <w:rFonts w:hint="eastAsia" w:ascii="仿宋" w:hAnsi="仿宋" w:eastAsia="仿宋" w:cs="仿宋"/>
                <w:b w:val="0"/>
                <w:bCs/>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635"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3751" w:type="dxa"/>
            <w:gridSpan w:val="2"/>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（二）部分公开（</w:t>
            </w:r>
            <w:bookmarkStart w:id="1" w:name="_Hlk66973981"/>
            <w:r>
              <w:rPr>
                <w:rFonts w:hint="eastAsia" w:ascii="仿宋" w:hAnsi="仿宋" w:eastAsia="仿宋" w:cs="仿宋"/>
                <w:b w:val="0"/>
                <w:bCs/>
                <w:sz w:val="24"/>
                <w:szCs w:val="24"/>
              </w:rPr>
              <w:t>区分处理的，只计这一情形，不计其他情形</w:t>
            </w:r>
            <w:bookmarkEnd w:id="1"/>
            <w:r>
              <w:rPr>
                <w:rFonts w:hint="eastAsia" w:ascii="仿宋" w:hAnsi="仿宋" w:eastAsia="仿宋" w:cs="仿宋"/>
                <w:b w:val="0"/>
                <w:bCs/>
                <w:sz w:val="24"/>
                <w:szCs w:val="24"/>
              </w:rPr>
              <w:t>）</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restart"/>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（三）不予公开</w:t>
            </w: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1.属于国家秘密</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2.</w:t>
            </w:r>
            <w:bookmarkStart w:id="2" w:name="_Hlk66974104"/>
            <w:r>
              <w:rPr>
                <w:rFonts w:hint="eastAsia" w:ascii="仿宋" w:hAnsi="仿宋" w:eastAsia="仿宋" w:cs="仿宋"/>
                <w:b w:val="0"/>
                <w:bCs/>
                <w:sz w:val="24"/>
                <w:szCs w:val="24"/>
              </w:rPr>
              <w:t>其他法律法规禁止公开</w:t>
            </w:r>
            <w:bookmarkEnd w:id="2"/>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3.危及“三安全一稳定”</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4.</w:t>
            </w:r>
            <w:bookmarkStart w:id="3" w:name="_Hlk66974290"/>
            <w:r>
              <w:rPr>
                <w:rFonts w:hint="eastAsia" w:ascii="仿宋" w:hAnsi="仿宋" w:eastAsia="仿宋" w:cs="仿宋"/>
                <w:b w:val="0"/>
                <w:bCs/>
                <w:sz w:val="24"/>
                <w:szCs w:val="24"/>
              </w:rPr>
              <w:t>保护第三方合法权益</w:t>
            </w:r>
            <w:bookmarkEnd w:id="3"/>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5.属于三类内部事务信息</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6.</w:t>
            </w:r>
            <w:bookmarkStart w:id="4" w:name="_Hlk66974555"/>
            <w:r>
              <w:rPr>
                <w:rFonts w:hint="eastAsia" w:ascii="仿宋" w:hAnsi="仿宋" w:eastAsia="仿宋" w:cs="仿宋"/>
                <w:b w:val="0"/>
                <w:bCs/>
                <w:sz w:val="24"/>
                <w:szCs w:val="24"/>
              </w:rPr>
              <w:t>属于四类过程性信息</w:t>
            </w:r>
            <w:bookmarkEnd w:id="4"/>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7.属于行政执法案卷</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8.</w:t>
            </w:r>
            <w:bookmarkStart w:id="5" w:name="_Hlk66975211"/>
            <w:r>
              <w:rPr>
                <w:rFonts w:hint="eastAsia" w:ascii="仿宋" w:hAnsi="仿宋" w:eastAsia="仿宋" w:cs="仿宋"/>
                <w:b w:val="0"/>
                <w:bCs/>
                <w:sz w:val="24"/>
                <w:szCs w:val="24"/>
              </w:rPr>
              <w:t>属于行政查询事项</w:t>
            </w:r>
            <w:bookmarkEnd w:id="5"/>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restart"/>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（四）无法提供</w:t>
            </w: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1.本机关不掌握相关政府信息</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2.</w:t>
            </w:r>
            <w:bookmarkStart w:id="6" w:name="_Hlk66975392"/>
            <w:r>
              <w:rPr>
                <w:rFonts w:hint="eastAsia" w:ascii="仿宋" w:hAnsi="仿宋" w:eastAsia="仿宋" w:cs="仿宋"/>
                <w:b w:val="0"/>
                <w:bCs/>
                <w:sz w:val="24"/>
                <w:szCs w:val="24"/>
              </w:rPr>
              <w:t>没有现成信息需要另行制作</w:t>
            </w:r>
            <w:bookmarkEnd w:id="6"/>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3.</w:t>
            </w:r>
            <w:bookmarkStart w:id="7" w:name="_Hlk66975466"/>
            <w:r>
              <w:rPr>
                <w:rFonts w:hint="eastAsia" w:ascii="仿宋" w:hAnsi="仿宋" w:eastAsia="仿宋" w:cs="仿宋"/>
                <w:b w:val="0"/>
                <w:bCs/>
                <w:spacing w:val="-8"/>
                <w:sz w:val="24"/>
                <w:szCs w:val="24"/>
              </w:rPr>
              <w:t>补正后申请内容仍不明确</w:t>
            </w:r>
            <w:bookmarkEnd w:id="7"/>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restart"/>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（五）不予处理</w:t>
            </w: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1.</w:t>
            </w:r>
            <w:bookmarkStart w:id="8" w:name="_Hlk66975537"/>
            <w:r>
              <w:rPr>
                <w:rFonts w:hint="eastAsia" w:ascii="仿宋" w:hAnsi="仿宋" w:eastAsia="仿宋" w:cs="仿宋"/>
                <w:b w:val="0"/>
                <w:bCs/>
                <w:sz w:val="24"/>
                <w:szCs w:val="24"/>
              </w:rPr>
              <w:t>信访举报投诉类申请</w:t>
            </w:r>
            <w:bookmarkEnd w:id="8"/>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260" w:lineRule="exact"/>
              <w:rPr>
                <w:rFonts w:hint="eastAsia" w:ascii="仿宋" w:hAnsi="仿宋" w:eastAsia="仿宋" w:cs="仿宋"/>
                <w:b w:val="0"/>
                <w:bCs/>
                <w:sz w:val="24"/>
                <w:szCs w:val="24"/>
              </w:rPr>
            </w:pPr>
            <w:r>
              <w:rPr>
                <w:rFonts w:hint="eastAsia" w:ascii="仿宋" w:hAnsi="仿宋" w:eastAsia="仿宋" w:cs="仿宋"/>
                <w:b w:val="0"/>
                <w:bCs/>
                <w:sz w:val="24"/>
                <w:szCs w:val="24"/>
              </w:rPr>
              <w:t>2.重复申请</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3.要求提供公开出版物</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4.</w:t>
            </w:r>
            <w:r>
              <w:rPr>
                <w:rFonts w:hint="eastAsia" w:ascii="仿宋" w:hAnsi="仿宋" w:eastAsia="仿宋" w:cs="仿宋"/>
                <w:b w:val="0"/>
                <w:bCs/>
                <w:spacing w:val="-8"/>
                <w:sz w:val="24"/>
                <w:szCs w:val="24"/>
              </w:rPr>
              <w:t>无正当理由大量反复申请</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2932" w:type="dxa"/>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5.要求行政机关确认或重新出具已获取信息</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restart"/>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（六）其他处理</w:t>
            </w:r>
          </w:p>
        </w:tc>
        <w:tc>
          <w:tcPr>
            <w:tcW w:w="2932" w:type="dxa"/>
            <w:shd w:val="clear" w:color="auto" w:fill="auto"/>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1</w:t>
            </w:r>
            <w:r>
              <w:rPr>
                <w:rFonts w:hint="eastAsia" w:ascii="仿宋" w:hAnsi="仿宋" w:eastAsia="仿宋" w:cs="仿宋"/>
                <w:b w:val="0"/>
                <w:bCs/>
                <w:color w:val="000000"/>
                <w:sz w:val="24"/>
                <w:szCs w:val="24"/>
              </w:rPr>
              <w:t>.申请人无正当理由逾期不补正、行政机关不再处理其政府信息公开申请</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4"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260" w:lineRule="exact"/>
              <w:rPr>
                <w:rFonts w:hint="eastAsia" w:ascii="仿宋" w:hAnsi="仿宋" w:eastAsia="仿宋" w:cs="仿宋"/>
                <w:b w:val="0"/>
                <w:bCs/>
                <w:sz w:val="24"/>
                <w:szCs w:val="24"/>
              </w:rPr>
            </w:pPr>
          </w:p>
        </w:tc>
        <w:tc>
          <w:tcPr>
            <w:tcW w:w="2932" w:type="dxa"/>
            <w:shd w:val="clear" w:color="auto" w:fill="auto"/>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2</w:t>
            </w:r>
            <w:r>
              <w:rPr>
                <w:rFonts w:hint="eastAsia" w:ascii="仿宋" w:hAnsi="仿宋" w:eastAsia="仿宋" w:cs="仿宋"/>
                <w:b w:val="0"/>
                <w:bCs/>
                <w:color w:val="000000"/>
                <w:sz w:val="24"/>
                <w:szCs w:val="24"/>
              </w:rPr>
              <w:t>.申请人逾期未按收费通知要求缴纳费用、行政机关不再处理其政府信息公开申请</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635" w:type="dxa"/>
            <w:vMerge w:val="continue"/>
            <w:shd w:val="clear" w:color="auto" w:fill="auto"/>
            <w:tcMar>
              <w:left w:w="108" w:type="dxa"/>
              <w:right w:w="108" w:type="dxa"/>
            </w:tcMar>
            <w:vAlign w:val="center"/>
          </w:tcPr>
          <w:p>
            <w:pPr>
              <w:spacing w:line="260" w:lineRule="exact"/>
              <w:rPr>
                <w:rFonts w:hint="eastAsia" w:ascii="仿宋" w:hAnsi="仿宋" w:eastAsia="仿宋" w:cs="仿宋"/>
                <w:b w:val="0"/>
                <w:bCs/>
                <w:sz w:val="24"/>
                <w:szCs w:val="24"/>
              </w:rPr>
            </w:pPr>
          </w:p>
        </w:tc>
        <w:tc>
          <w:tcPr>
            <w:tcW w:w="819" w:type="dxa"/>
            <w:vMerge w:val="continue"/>
            <w:shd w:val="clear" w:color="auto" w:fill="auto"/>
            <w:tcMar>
              <w:left w:w="108" w:type="dxa"/>
              <w:right w:w="108" w:type="dxa"/>
            </w:tcMar>
            <w:vAlign w:val="center"/>
          </w:tcPr>
          <w:p>
            <w:pPr>
              <w:widowControl/>
              <w:spacing w:line="260" w:lineRule="exact"/>
              <w:rPr>
                <w:rFonts w:hint="eastAsia" w:ascii="仿宋" w:hAnsi="仿宋" w:eastAsia="仿宋" w:cs="仿宋"/>
                <w:b w:val="0"/>
                <w:bCs/>
                <w:sz w:val="24"/>
                <w:szCs w:val="24"/>
              </w:rPr>
            </w:pPr>
          </w:p>
        </w:tc>
        <w:tc>
          <w:tcPr>
            <w:tcW w:w="2932" w:type="dxa"/>
            <w:shd w:val="clear" w:color="auto" w:fill="auto"/>
            <w:vAlign w:val="center"/>
          </w:tcPr>
          <w:p>
            <w:pPr>
              <w:widowControl/>
              <w:spacing w:line="260" w:lineRule="exact"/>
              <w:rPr>
                <w:rFonts w:hint="eastAsia" w:ascii="仿宋" w:hAnsi="仿宋" w:eastAsia="仿宋" w:cs="仿宋"/>
                <w:b w:val="0"/>
                <w:bCs/>
                <w:sz w:val="24"/>
                <w:szCs w:val="24"/>
              </w:rPr>
            </w:pPr>
            <w:r>
              <w:rPr>
                <w:rFonts w:hint="eastAsia" w:ascii="仿宋" w:hAnsi="仿宋" w:eastAsia="仿宋" w:cs="仿宋"/>
                <w:b w:val="0"/>
                <w:bCs/>
                <w:sz w:val="24"/>
                <w:szCs w:val="24"/>
              </w:rPr>
              <w:t>3.其他</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35" w:type="dxa"/>
            <w:vMerge w:val="continue"/>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p>
        </w:tc>
        <w:tc>
          <w:tcPr>
            <w:tcW w:w="3751" w:type="dxa"/>
            <w:gridSpan w:val="2"/>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（七）总计</w:t>
            </w:r>
          </w:p>
        </w:tc>
        <w:tc>
          <w:tcPr>
            <w:tcW w:w="620" w:type="dxa"/>
            <w:shd w:val="clear" w:color="auto" w:fill="auto"/>
            <w:tcMar>
              <w:left w:w="108" w:type="dxa"/>
              <w:right w:w="108" w:type="dxa"/>
            </w:tcMar>
            <w:vAlign w:val="center"/>
          </w:tcPr>
          <w:p>
            <w:pPr>
              <w:widowControl/>
              <w:spacing w:line="260" w:lineRule="exact"/>
              <w:ind w:left="0" w:leftChars="0" w:right="0" w:rightChars="0"/>
              <w:jc w:val="center"/>
              <w:rPr>
                <w:rFonts w:hint="default" w:ascii="仿宋" w:hAnsi="仿宋" w:eastAsia="仿宋" w:cs="仿宋"/>
                <w:b w:val="0"/>
                <w:bCs/>
                <w:sz w:val="24"/>
                <w:szCs w:val="24"/>
                <w:lang w:val="en-US"/>
              </w:rPr>
            </w:pPr>
            <w:r>
              <w:rPr>
                <w:rFonts w:hint="eastAsia" w:ascii="仿宋" w:hAnsi="仿宋" w:eastAsia="仿宋" w:cs="仿宋"/>
                <w:b w:val="0"/>
                <w:bCs/>
                <w:sz w:val="24"/>
                <w:szCs w:val="24"/>
                <w:lang w:val="en-US" w:eastAsia="zh-CN"/>
              </w:rPr>
              <w:t>13</w:t>
            </w:r>
          </w:p>
        </w:tc>
        <w:tc>
          <w:tcPr>
            <w:tcW w:w="654"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ind w:left="0" w:leftChars="0" w:right="0" w:right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ind w:left="0" w:leftChars="0" w:right="0" w:rightChars="0"/>
              <w:jc w:val="center"/>
              <w:rPr>
                <w:rFonts w:hint="default" w:ascii="仿宋" w:hAnsi="仿宋" w:eastAsia="仿宋" w:cs="仿宋"/>
                <w:b w:val="0"/>
                <w:bCs/>
                <w:sz w:val="24"/>
                <w:szCs w:val="24"/>
                <w:lang w:val="en-US"/>
              </w:rPr>
            </w:pPr>
            <w:r>
              <w:rPr>
                <w:rFonts w:hint="eastAsia" w:ascii="仿宋" w:hAnsi="仿宋" w:eastAsia="仿宋" w:cs="仿宋"/>
                <w:b w:val="0"/>
                <w:bCs/>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4386" w:type="dxa"/>
            <w:gridSpan w:val="3"/>
            <w:shd w:val="clear" w:color="auto" w:fill="auto"/>
            <w:tcMar>
              <w:left w:w="108" w:type="dxa"/>
              <w:right w:w="108" w:type="dxa"/>
            </w:tcMar>
            <w:vAlign w:val="center"/>
          </w:tcPr>
          <w:p>
            <w:pPr>
              <w:widowControl/>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四、结转下年度继续办理</w:t>
            </w:r>
          </w:p>
        </w:tc>
        <w:tc>
          <w:tcPr>
            <w:tcW w:w="620"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c>
          <w:tcPr>
            <w:tcW w:w="654"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c>
          <w:tcPr>
            <w:tcW w:w="627"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c>
          <w:tcPr>
            <w:tcW w:w="573"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c>
          <w:tcPr>
            <w:tcW w:w="518"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c>
          <w:tcPr>
            <w:tcW w:w="546" w:type="dxa"/>
            <w:shd w:val="clear" w:color="auto" w:fill="auto"/>
            <w:tcMar>
              <w:left w:w="108" w:type="dxa"/>
              <w:right w:w="108" w:type="dxa"/>
            </w:tcMar>
            <w:vAlign w:val="center"/>
          </w:tcPr>
          <w:p>
            <w:pPr>
              <w:widowControl/>
              <w:spacing w:line="2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r>
    </w:tbl>
    <w:p>
      <w:pPr>
        <w:pStyle w:val="2"/>
        <w:keepNext w:val="0"/>
        <w:keepLines w:val="0"/>
        <w:widowControl/>
        <w:suppressLineNumbers w:val="0"/>
        <w:rPr>
          <w:rFonts w:ascii="Times New Roman" w:hAnsi="Times New Roman" w:eastAsia="文星黑体"/>
          <w:b/>
          <w:color w:val="000000"/>
          <w:sz w:val="32"/>
          <w:szCs w:val="32"/>
        </w:rPr>
      </w:pPr>
      <w:r>
        <w:rPr>
          <w:rFonts w:ascii="方正黑体简体" w:hAnsi="方正黑体简体" w:eastAsia="方正黑体简体" w:cs="方正黑体简体"/>
          <w:b/>
          <w:bCs/>
          <w:color w:val="000000"/>
          <w:sz w:val="31"/>
          <w:szCs w:val="31"/>
        </w:rPr>
        <w:t>四、政府信息公开行政复议、行政诉讼情况</w:t>
      </w:r>
    </w:p>
    <w:p>
      <w:pPr>
        <w:spacing w:line="240" w:lineRule="exact"/>
        <w:ind w:right="-105" w:rightChars="-50"/>
        <w:jc w:val="center"/>
        <w:rPr>
          <w:rFonts w:ascii="Times New Roman" w:hAnsi="Times New Roman" w:eastAsia="文星仿宋"/>
          <w:b/>
          <w:color w:val="000000"/>
          <w:sz w:val="32"/>
          <w:szCs w:val="32"/>
        </w:rPr>
      </w:pP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行政复议</w:t>
            </w:r>
          </w:p>
        </w:tc>
        <w:tc>
          <w:tcPr>
            <w:tcW w:w="5922" w:type="dxa"/>
            <w:gridSpan w:val="10"/>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widowControl/>
              <w:spacing w:line="320" w:lineRule="exact"/>
              <w:ind w:left="-149" w:leftChars="-71" w:right="-170" w:rightChars="-81"/>
              <w:jc w:val="center"/>
              <w:rPr>
                <w:rFonts w:hint="eastAsia" w:ascii="仿宋" w:hAnsi="仿宋" w:eastAsia="仿宋" w:cs="仿宋"/>
                <w:b w:val="0"/>
                <w:bCs/>
                <w:sz w:val="28"/>
                <w:szCs w:val="28"/>
              </w:rPr>
            </w:pPr>
            <w:r>
              <w:rPr>
                <w:rFonts w:hint="eastAsia" w:ascii="仿宋" w:hAnsi="仿宋" w:eastAsia="仿宋" w:cs="仿宋"/>
                <w:b w:val="0"/>
                <w:bCs/>
                <w:sz w:val="28"/>
                <w:szCs w:val="28"/>
              </w:rPr>
              <w:t>结果</w:t>
            </w:r>
          </w:p>
          <w:p>
            <w:pPr>
              <w:widowControl/>
              <w:spacing w:line="320" w:lineRule="exact"/>
              <w:ind w:left="-149" w:leftChars="-71" w:right="-170" w:rightChars="-81"/>
              <w:jc w:val="center"/>
              <w:rPr>
                <w:rFonts w:hint="eastAsia" w:ascii="仿宋" w:hAnsi="仿宋" w:eastAsia="仿宋" w:cs="仿宋"/>
                <w:b w:val="0"/>
                <w:bCs/>
                <w:sz w:val="28"/>
                <w:szCs w:val="28"/>
              </w:rPr>
            </w:pPr>
            <w:r>
              <w:rPr>
                <w:rFonts w:hint="eastAsia" w:ascii="仿宋" w:hAnsi="仿宋" w:eastAsia="仿宋" w:cs="仿宋"/>
                <w:b w:val="0"/>
                <w:bCs/>
                <w:sz w:val="28"/>
                <w:szCs w:val="28"/>
              </w:rPr>
              <w:t>维持</w:t>
            </w:r>
          </w:p>
        </w:tc>
        <w:tc>
          <w:tcPr>
            <w:tcW w:w="604" w:type="dxa"/>
            <w:vMerge w:val="restart"/>
            <w:shd w:val="clear" w:color="auto" w:fill="auto"/>
            <w:tcMar>
              <w:left w:w="108" w:type="dxa"/>
              <w:right w:w="108" w:type="dxa"/>
            </w:tcMar>
            <w:vAlign w:val="center"/>
          </w:tcPr>
          <w:p>
            <w:pPr>
              <w:widowControl/>
              <w:spacing w:line="320" w:lineRule="exact"/>
              <w:ind w:left="-43" w:leftChars="-21" w:right="-132" w:rightChars="-63" w:hanging="1"/>
              <w:jc w:val="center"/>
              <w:rPr>
                <w:rFonts w:hint="eastAsia" w:ascii="仿宋" w:hAnsi="仿宋" w:eastAsia="仿宋" w:cs="仿宋"/>
                <w:b w:val="0"/>
                <w:bCs/>
                <w:sz w:val="28"/>
                <w:szCs w:val="28"/>
              </w:rPr>
            </w:pPr>
            <w:r>
              <w:rPr>
                <w:rFonts w:hint="eastAsia" w:ascii="仿宋" w:hAnsi="仿宋" w:eastAsia="仿宋" w:cs="仿宋"/>
                <w:b w:val="0"/>
                <w:bCs/>
                <w:sz w:val="28"/>
                <w:szCs w:val="28"/>
              </w:rPr>
              <w:t>结果纠正</w:t>
            </w:r>
          </w:p>
        </w:tc>
        <w:tc>
          <w:tcPr>
            <w:tcW w:w="604" w:type="dxa"/>
            <w:vMerge w:val="restart"/>
            <w:shd w:val="clear" w:color="auto" w:fill="auto"/>
            <w:tcMar>
              <w:left w:w="108" w:type="dxa"/>
              <w:right w:w="108" w:type="dxa"/>
            </w:tcMar>
            <w:vAlign w:val="center"/>
          </w:tcPr>
          <w:p>
            <w:pPr>
              <w:widowControl/>
              <w:spacing w:line="320" w:lineRule="exact"/>
              <w:ind w:left="-82" w:leftChars="-39" w:right="-97" w:rightChars="-46"/>
              <w:jc w:val="center"/>
              <w:rPr>
                <w:rFonts w:hint="eastAsia" w:ascii="仿宋" w:hAnsi="仿宋" w:eastAsia="仿宋" w:cs="仿宋"/>
                <w:b w:val="0"/>
                <w:bCs/>
                <w:sz w:val="28"/>
                <w:szCs w:val="28"/>
              </w:rPr>
            </w:pPr>
            <w:r>
              <w:rPr>
                <w:rFonts w:hint="eastAsia" w:ascii="仿宋" w:hAnsi="仿宋" w:eastAsia="仿宋" w:cs="仿宋"/>
                <w:b w:val="0"/>
                <w:bCs/>
                <w:sz w:val="28"/>
                <w:szCs w:val="28"/>
              </w:rPr>
              <w:t>其他结果</w:t>
            </w:r>
          </w:p>
        </w:tc>
        <w:tc>
          <w:tcPr>
            <w:tcW w:w="604" w:type="dxa"/>
            <w:vMerge w:val="restart"/>
            <w:shd w:val="clear" w:color="auto" w:fill="auto"/>
            <w:tcMar>
              <w:left w:w="108" w:type="dxa"/>
              <w:right w:w="108" w:type="dxa"/>
            </w:tcMar>
            <w:vAlign w:val="center"/>
          </w:tcPr>
          <w:p>
            <w:pPr>
              <w:widowControl/>
              <w:spacing w:line="320" w:lineRule="exact"/>
              <w:ind w:left="-118" w:leftChars="-56" w:right="-118" w:rightChars="-56"/>
              <w:jc w:val="center"/>
              <w:rPr>
                <w:rFonts w:hint="eastAsia" w:ascii="仿宋" w:hAnsi="仿宋" w:eastAsia="仿宋" w:cs="仿宋"/>
                <w:b w:val="0"/>
                <w:bCs/>
                <w:sz w:val="28"/>
                <w:szCs w:val="28"/>
              </w:rPr>
            </w:pPr>
            <w:r>
              <w:rPr>
                <w:rFonts w:hint="eastAsia" w:ascii="仿宋" w:hAnsi="仿宋" w:eastAsia="仿宋" w:cs="仿宋"/>
                <w:b w:val="0"/>
                <w:bCs/>
                <w:sz w:val="28"/>
                <w:szCs w:val="28"/>
              </w:rPr>
              <w:t>尚未</w:t>
            </w:r>
          </w:p>
          <w:p>
            <w:pPr>
              <w:widowControl/>
              <w:spacing w:line="320" w:lineRule="exact"/>
              <w:ind w:left="-118" w:leftChars="-56" w:right="-118" w:rightChars="-56"/>
              <w:jc w:val="center"/>
              <w:rPr>
                <w:rFonts w:hint="eastAsia" w:ascii="仿宋" w:hAnsi="仿宋" w:eastAsia="仿宋" w:cs="仿宋"/>
                <w:b w:val="0"/>
                <w:bCs/>
                <w:sz w:val="28"/>
                <w:szCs w:val="28"/>
              </w:rPr>
            </w:pPr>
            <w:r>
              <w:rPr>
                <w:rFonts w:hint="eastAsia" w:ascii="仿宋" w:hAnsi="仿宋" w:eastAsia="仿宋" w:cs="仿宋"/>
                <w:b w:val="0"/>
                <w:bCs/>
                <w:sz w:val="28"/>
                <w:szCs w:val="28"/>
              </w:rPr>
              <w:t>审结</w:t>
            </w:r>
          </w:p>
        </w:tc>
        <w:tc>
          <w:tcPr>
            <w:tcW w:w="479" w:type="dxa"/>
            <w:vMerge w:val="restart"/>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总</w:t>
            </w:r>
          </w:p>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计</w:t>
            </w:r>
          </w:p>
        </w:tc>
        <w:tc>
          <w:tcPr>
            <w:tcW w:w="2943" w:type="dxa"/>
            <w:gridSpan w:val="5"/>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未经复议直接起诉</w:t>
            </w:r>
          </w:p>
        </w:tc>
        <w:tc>
          <w:tcPr>
            <w:tcW w:w="2979" w:type="dxa"/>
            <w:gridSpan w:val="5"/>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bookmarkStart w:id="9" w:name="_Hlk67039688"/>
            <w:r>
              <w:rPr>
                <w:rFonts w:hint="eastAsia" w:ascii="仿宋" w:hAnsi="仿宋" w:eastAsia="仿宋" w:cs="仿宋"/>
                <w:b w:val="0"/>
                <w:bCs/>
                <w:sz w:val="28"/>
                <w:szCs w:val="28"/>
              </w:rPr>
              <w:t>复议后起诉</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eastAsia" w:ascii="仿宋" w:hAnsi="仿宋" w:eastAsia="仿宋" w:cs="仿宋"/>
                <w:b w:val="0"/>
                <w:bCs/>
                <w:sz w:val="28"/>
                <w:szCs w:val="28"/>
              </w:rPr>
            </w:pPr>
          </w:p>
        </w:tc>
        <w:tc>
          <w:tcPr>
            <w:tcW w:w="479" w:type="dxa"/>
            <w:vMerge w:val="continue"/>
            <w:shd w:val="clear" w:color="auto" w:fill="auto"/>
            <w:tcMar>
              <w:left w:w="108" w:type="dxa"/>
              <w:right w:w="108" w:type="dxa"/>
            </w:tcMar>
            <w:vAlign w:val="center"/>
          </w:tcPr>
          <w:p>
            <w:pPr>
              <w:spacing w:line="320" w:lineRule="exact"/>
              <w:rPr>
                <w:rFonts w:hint="eastAsia" w:ascii="仿宋" w:hAnsi="仿宋" w:eastAsia="仿宋" w:cs="仿宋"/>
                <w:b w:val="0"/>
                <w:bCs/>
                <w:sz w:val="28"/>
                <w:szCs w:val="28"/>
              </w:rPr>
            </w:pPr>
          </w:p>
        </w:tc>
        <w:tc>
          <w:tcPr>
            <w:tcW w:w="550" w:type="dxa"/>
            <w:shd w:val="clear" w:color="auto" w:fill="auto"/>
            <w:tcMar>
              <w:left w:w="108" w:type="dxa"/>
              <w:right w:w="108" w:type="dxa"/>
            </w:tcMar>
            <w:vAlign w:val="center"/>
          </w:tcPr>
          <w:p>
            <w:pPr>
              <w:widowControl/>
              <w:spacing w:line="320" w:lineRule="exact"/>
              <w:ind w:left="-105" w:leftChars="-50" w:right="-126" w:rightChars="-60"/>
              <w:jc w:val="center"/>
              <w:rPr>
                <w:rFonts w:hint="eastAsia" w:ascii="仿宋" w:hAnsi="仿宋" w:eastAsia="仿宋" w:cs="仿宋"/>
                <w:b w:val="0"/>
                <w:bCs/>
                <w:sz w:val="28"/>
                <w:szCs w:val="28"/>
              </w:rPr>
            </w:pPr>
            <w:r>
              <w:rPr>
                <w:rFonts w:hint="eastAsia" w:ascii="仿宋" w:hAnsi="仿宋" w:eastAsia="仿宋" w:cs="仿宋"/>
                <w:b w:val="0"/>
                <w:bCs/>
                <w:sz w:val="28"/>
                <w:szCs w:val="28"/>
              </w:rPr>
              <w:t>结果维持</w:t>
            </w:r>
          </w:p>
        </w:tc>
        <w:tc>
          <w:tcPr>
            <w:tcW w:w="605" w:type="dxa"/>
            <w:shd w:val="clear" w:color="auto" w:fill="auto"/>
            <w:tcMar>
              <w:left w:w="108" w:type="dxa"/>
              <w:right w:w="108" w:type="dxa"/>
            </w:tcMar>
            <w:vAlign w:val="center"/>
          </w:tcPr>
          <w:p>
            <w:pPr>
              <w:widowControl/>
              <w:spacing w:line="320" w:lineRule="exact"/>
              <w:ind w:left="-86" w:leftChars="-41" w:right="-88" w:rightChars="-42"/>
              <w:jc w:val="center"/>
              <w:rPr>
                <w:rFonts w:hint="eastAsia" w:ascii="仿宋" w:hAnsi="仿宋" w:eastAsia="仿宋" w:cs="仿宋"/>
                <w:b w:val="0"/>
                <w:bCs/>
                <w:sz w:val="28"/>
                <w:szCs w:val="28"/>
              </w:rPr>
            </w:pPr>
            <w:r>
              <w:rPr>
                <w:rFonts w:hint="eastAsia" w:ascii="仿宋" w:hAnsi="仿宋" w:eastAsia="仿宋" w:cs="仿宋"/>
                <w:b w:val="0"/>
                <w:bCs/>
                <w:sz w:val="28"/>
                <w:szCs w:val="28"/>
              </w:rPr>
              <w:t>结果纠正</w:t>
            </w:r>
          </w:p>
        </w:tc>
        <w:tc>
          <w:tcPr>
            <w:tcW w:w="605" w:type="dxa"/>
            <w:shd w:val="clear" w:color="auto" w:fill="auto"/>
            <w:tcMar>
              <w:left w:w="108" w:type="dxa"/>
              <w:right w:w="108" w:type="dxa"/>
            </w:tcMar>
            <w:vAlign w:val="center"/>
          </w:tcPr>
          <w:p>
            <w:pPr>
              <w:widowControl/>
              <w:spacing w:line="320" w:lineRule="exact"/>
              <w:ind w:left="-126" w:leftChars="-60" w:right="-136" w:rightChars="-65"/>
              <w:jc w:val="center"/>
              <w:rPr>
                <w:rFonts w:hint="eastAsia" w:ascii="仿宋" w:hAnsi="仿宋" w:eastAsia="仿宋" w:cs="仿宋"/>
                <w:b w:val="0"/>
                <w:bCs/>
                <w:sz w:val="28"/>
                <w:szCs w:val="28"/>
              </w:rPr>
            </w:pPr>
            <w:r>
              <w:rPr>
                <w:rFonts w:hint="eastAsia" w:ascii="仿宋" w:hAnsi="仿宋" w:eastAsia="仿宋" w:cs="仿宋"/>
                <w:b w:val="0"/>
                <w:bCs/>
                <w:sz w:val="28"/>
                <w:szCs w:val="28"/>
              </w:rPr>
              <w:t>其他</w:t>
            </w:r>
          </w:p>
          <w:p>
            <w:pPr>
              <w:widowControl/>
              <w:spacing w:line="320" w:lineRule="exact"/>
              <w:ind w:left="-126" w:leftChars="-60" w:right="-136" w:rightChars="-65"/>
              <w:jc w:val="center"/>
              <w:rPr>
                <w:rFonts w:hint="eastAsia" w:ascii="仿宋" w:hAnsi="仿宋" w:eastAsia="仿宋" w:cs="仿宋"/>
                <w:b w:val="0"/>
                <w:bCs/>
                <w:sz w:val="28"/>
                <w:szCs w:val="28"/>
              </w:rPr>
            </w:pPr>
            <w:r>
              <w:rPr>
                <w:rFonts w:hint="eastAsia" w:ascii="仿宋" w:hAnsi="仿宋" w:eastAsia="仿宋" w:cs="仿宋"/>
                <w:b w:val="0"/>
                <w:bCs/>
                <w:sz w:val="28"/>
                <w:szCs w:val="28"/>
              </w:rPr>
              <w:t>结果</w:t>
            </w:r>
          </w:p>
        </w:tc>
        <w:tc>
          <w:tcPr>
            <w:tcW w:w="605" w:type="dxa"/>
            <w:shd w:val="clear" w:color="auto" w:fill="auto"/>
            <w:tcMar>
              <w:left w:w="108" w:type="dxa"/>
              <w:right w:w="108" w:type="dxa"/>
            </w:tcMar>
            <w:vAlign w:val="center"/>
          </w:tcPr>
          <w:p>
            <w:pPr>
              <w:widowControl/>
              <w:spacing w:line="320" w:lineRule="exact"/>
              <w:ind w:left="-164" w:leftChars="-78" w:right="-153" w:rightChars="-73"/>
              <w:jc w:val="center"/>
              <w:rPr>
                <w:rFonts w:hint="eastAsia" w:ascii="仿宋" w:hAnsi="仿宋" w:eastAsia="仿宋" w:cs="仿宋"/>
                <w:b w:val="0"/>
                <w:bCs/>
                <w:sz w:val="28"/>
                <w:szCs w:val="28"/>
              </w:rPr>
            </w:pPr>
            <w:r>
              <w:rPr>
                <w:rFonts w:hint="eastAsia" w:ascii="仿宋" w:hAnsi="仿宋" w:eastAsia="仿宋" w:cs="仿宋"/>
                <w:b w:val="0"/>
                <w:bCs/>
                <w:sz w:val="28"/>
                <w:szCs w:val="28"/>
              </w:rPr>
              <w:t>尚未</w:t>
            </w:r>
          </w:p>
          <w:p>
            <w:pPr>
              <w:widowControl/>
              <w:spacing w:line="320" w:lineRule="exact"/>
              <w:ind w:left="-164" w:leftChars="-78" w:right="-153" w:rightChars="-73"/>
              <w:jc w:val="center"/>
              <w:rPr>
                <w:rFonts w:hint="eastAsia" w:ascii="仿宋" w:hAnsi="仿宋" w:eastAsia="仿宋" w:cs="仿宋"/>
                <w:b w:val="0"/>
                <w:bCs/>
                <w:sz w:val="28"/>
                <w:szCs w:val="28"/>
              </w:rPr>
            </w:pPr>
            <w:r>
              <w:rPr>
                <w:rFonts w:hint="eastAsia" w:ascii="仿宋" w:hAnsi="仿宋" w:eastAsia="仿宋" w:cs="仿宋"/>
                <w:b w:val="0"/>
                <w:bCs/>
                <w:sz w:val="28"/>
                <w:szCs w:val="28"/>
              </w:rPr>
              <w:t>审结</w:t>
            </w:r>
          </w:p>
        </w:tc>
        <w:tc>
          <w:tcPr>
            <w:tcW w:w="578" w:type="dxa"/>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总计</w:t>
            </w:r>
          </w:p>
        </w:tc>
        <w:tc>
          <w:tcPr>
            <w:tcW w:w="605" w:type="dxa"/>
            <w:shd w:val="clear" w:color="auto" w:fill="auto"/>
            <w:tcMar>
              <w:left w:w="108" w:type="dxa"/>
              <w:right w:w="108" w:type="dxa"/>
            </w:tcMar>
            <w:vAlign w:val="center"/>
          </w:tcPr>
          <w:p>
            <w:pPr>
              <w:widowControl/>
              <w:spacing w:line="320" w:lineRule="exact"/>
              <w:ind w:left="-99" w:leftChars="-47" w:right="-78" w:rightChars="-37"/>
              <w:jc w:val="center"/>
              <w:rPr>
                <w:rFonts w:hint="eastAsia" w:ascii="仿宋" w:hAnsi="仿宋" w:eastAsia="仿宋" w:cs="仿宋"/>
                <w:b w:val="0"/>
                <w:bCs/>
                <w:sz w:val="28"/>
                <w:szCs w:val="28"/>
              </w:rPr>
            </w:pPr>
            <w:r>
              <w:rPr>
                <w:rFonts w:hint="eastAsia" w:ascii="仿宋" w:hAnsi="仿宋" w:eastAsia="仿宋" w:cs="仿宋"/>
                <w:b w:val="0"/>
                <w:bCs/>
                <w:sz w:val="28"/>
                <w:szCs w:val="28"/>
              </w:rPr>
              <w:t>结果维持</w:t>
            </w:r>
          </w:p>
        </w:tc>
        <w:tc>
          <w:tcPr>
            <w:tcW w:w="605" w:type="dxa"/>
            <w:shd w:val="clear" w:color="auto" w:fill="auto"/>
            <w:tcMar>
              <w:left w:w="108" w:type="dxa"/>
              <w:right w:w="108" w:type="dxa"/>
            </w:tcMar>
            <w:vAlign w:val="center"/>
          </w:tcPr>
          <w:p>
            <w:pPr>
              <w:widowControl/>
              <w:spacing w:line="320" w:lineRule="exact"/>
              <w:ind w:left="-136" w:leftChars="-65" w:right="-124" w:rightChars="-59"/>
              <w:jc w:val="center"/>
              <w:rPr>
                <w:rFonts w:hint="eastAsia" w:ascii="仿宋" w:hAnsi="仿宋" w:eastAsia="仿宋" w:cs="仿宋"/>
                <w:b w:val="0"/>
                <w:bCs/>
                <w:sz w:val="28"/>
                <w:szCs w:val="28"/>
              </w:rPr>
            </w:pPr>
            <w:r>
              <w:rPr>
                <w:rFonts w:hint="eastAsia" w:ascii="仿宋" w:hAnsi="仿宋" w:eastAsia="仿宋" w:cs="仿宋"/>
                <w:b w:val="0"/>
                <w:bCs/>
                <w:sz w:val="28"/>
                <w:szCs w:val="28"/>
              </w:rPr>
              <w:t>结果</w:t>
            </w:r>
          </w:p>
          <w:p>
            <w:pPr>
              <w:widowControl/>
              <w:spacing w:line="320" w:lineRule="exact"/>
              <w:ind w:left="-136" w:leftChars="-65" w:right="-124" w:rightChars="-59"/>
              <w:jc w:val="center"/>
              <w:rPr>
                <w:rFonts w:hint="eastAsia" w:ascii="仿宋" w:hAnsi="仿宋" w:eastAsia="仿宋" w:cs="仿宋"/>
                <w:b w:val="0"/>
                <w:bCs/>
                <w:sz w:val="28"/>
                <w:szCs w:val="28"/>
              </w:rPr>
            </w:pPr>
            <w:r>
              <w:rPr>
                <w:rFonts w:hint="eastAsia" w:ascii="仿宋" w:hAnsi="仿宋" w:eastAsia="仿宋" w:cs="仿宋"/>
                <w:b w:val="0"/>
                <w:bCs/>
                <w:sz w:val="28"/>
                <w:szCs w:val="28"/>
              </w:rPr>
              <w:t>纠正</w:t>
            </w:r>
          </w:p>
        </w:tc>
        <w:tc>
          <w:tcPr>
            <w:tcW w:w="605" w:type="dxa"/>
            <w:shd w:val="clear" w:color="auto" w:fill="auto"/>
            <w:tcMar>
              <w:left w:w="108" w:type="dxa"/>
              <w:right w:w="108" w:type="dxa"/>
            </w:tcMar>
            <w:vAlign w:val="center"/>
          </w:tcPr>
          <w:p>
            <w:pPr>
              <w:widowControl/>
              <w:spacing w:line="320" w:lineRule="exact"/>
              <w:ind w:left="-173" w:leftChars="-83" w:right="-134" w:rightChars="-64" w:hanging="1"/>
              <w:jc w:val="center"/>
              <w:rPr>
                <w:rFonts w:hint="eastAsia" w:ascii="仿宋" w:hAnsi="仿宋" w:eastAsia="仿宋" w:cs="仿宋"/>
                <w:b w:val="0"/>
                <w:bCs/>
                <w:sz w:val="28"/>
                <w:szCs w:val="28"/>
              </w:rPr>
            </w:pPr>
            <w:r>
              <w:rPr>
                <w:rFonts w:hint="eastAsia" w:ascii="仿宋" w:hAnsi="仿宋" w:eastAsia="仿宋" w:cs="仿宋"/>
                <w:b w:val="0"/>
                <w:bCs/>
                <w:sz w:val="28"/>
                <w:szCs w:val="28"/>
              </w:rPr>
              <w:t>其他</w:t>
            </w:r>
          </w:p>
          <w:p>
            <w:pPr>
              <w:widowControl/>
              <w:spacing w:line="320" w:lineRule="exact"/>
              <w:ind w:left="-173" w:leftChars="-83" w:right="-134" w:rightChars="-64" w:hanging="1"/>
              <w:jc w:val="center"/>
              <w:rPr>
                <w:rFonts w:hint="eastAsia" w:ascii="仿宋" w:hAnsi="仿宋" w:eastAsia="仿宋" w:cs="仿宋"/>
                <w:b w:val="0"/>
                <w:bCs/>
                <w:sz w:val="28"/>
                <w:szCs w:val="28"/>
              </w:rPr>
            </w:pPr>
            <w:r>
              <w:rPr>
                <w:rFonts w:hint="eastAsia" w:ascii="仿宋" w:hAnsi="仿宋" w:eastAsia="仿宋" w:cs="仿宋"/>
                <w:b w:val="0"/>
                <w:bCs/>
                <w:sz w:val="28"/>
                <w:szCs w:val="28"/>
              </w:rPr>
              <w:t>结果</w:t>
            </w:r>
          </w:p>
        </w:tc>
        <w:tc>
          <w:tcPr>
            <w:tcW w:w="606" w:type="dxa"/>
            <w:shd w:val="clear" w:color="auto" w:fill="auto"/>
            <w:tcMar>
              <w:left w:w="108" w:type="dxa"/>
              <w:right w:w="108" w:type="dxa"/>
            </w:tcMar>
            <w:vAlign w:val="center"/>
          </w:tcPr>
          <w:p>
            <w:pPr>
              <w:widowControl/>
              <w:spacing w:line="320" w:lineRule="exact"/>
              <w:ind w:left="-67" w:leftChars="-33" w:right="-105" w:rightChars="-50" w:hanging="2" w:hangingChars="1"/>
              <w:jc w:val="center"/>
              <w:rPr>
                <w:rFonts w:hint="eastAsia" w:ascii="仿宋" w:hAnsi="仿宋" w:eastAsia="仿宋" w:cs="仿宋"/>
                <w:b w:val="0"/>
                <w:bCs/>
                <w:sz w:val="28"/>
                <w:szCs w:val="28"/>
              </w:rPr>
            </w:pPr>
            <w:r>
              <w:rPr>
                <w:rFonts w:hint="eastAsia" w:ascii="仿宋" w:hAnsi="仿宋" w:eastAsia="仿宋" w:cs="仿宋"/>
                <w:b w:val="0"/>
                <w:bCs/>
                <w:sz w:val="28"/>
                <w:szCs w:val="28"/>
              </w:rPr>
              <w:t>尚未审结</w:t>
            </w:r>
          </w:p>
        </w:tc>
        <w:tc>
          <w:tcPr>
            <w:tcW w:w="558" w:type="dxa"/>
            <w:shd w:val="clear" w:color="auto" w:fill="auto"/>
            <w:tcMar>
              <w:left w:w="108" w:type="dxa"/>
              <w:right w:w="108" w:type="dxa"/>
            </w:tcMar>
            <w:vAlign w:val="center"/>
          </w:tcPr>
          <w:p>
            <w:pPr>
              <w:widowControl/>
              <w:spacing w:line="320" w:lineRule="exact"/>
              <w:jc w:val="center"/>
              <w:rPr>
                <w:rFonts w:hint="eastAsia" w:ascii="仿宋" w:hAnsi="仿宋" w:eastAsia="仿宋" w:cs="仿宋"/>
                <w:b w:val="0"/>
                <w:bCs/>
                <w:sz w:val="28"/>
                <w:szCs w:val="28"/>
              </w:rPr>
            </w:pPr>
            <w:r>
              <w:rPr>
                <w:rFonts w:hint="eastAsia" w:ascii="仿宋" w:hAnsi="仿宋" w:eastAsia="仿宋" w:cs="仿宋"/>
                <w:b w:val="0"/>
                <w:bCs/>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w:t>
            </w:r>
          </w:p>
        </w:tc>
        <w:tc>
          <w:tcPr>
            <w:tcW w:w="604"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479"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w:t>
            </w:r>
          </w:p>
        </w:tc>
        <w:tc>
          <w:tcPr>
            <w:tcW w:w="550"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w:t>
            </w:r>
          </w:p>
        </w:tc>
        <w:tc>
          <w:tcPr>
            <w:tcW w:w="605"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78"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w:t>
            </w:r>
          </w:p>
        </w:tc>
        <w:tc>
          <w:tcPr>
            <w:tcW w:w="605"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606"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c>
          <w:tcPr>
            <w:tcW w:w="558" w:type="dxa"/>
            <w:shd w:val="clear" w:color="auto" w:fill="auto"/>
            <w:tcMar>
              <w:left w:w="108" w:type="dxa"/>
              <w:right w:w="108" w:type="dxa"/>
            </w:tcMar>
            <w:vAlign w:val="center"/>
          </w:tcPr>
          <w:p>
            <w:pPr>
              <w:widowControl/>
              <w:spacing w:after="180" w:line="320" w:lineRule="exact"/>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0</w:t>
            </w:r>
          </w:p>
        </w:tc>
      </w:tr>
    </w:tbl>
    <w:p>
      <w:pPr>
        <w:pStyle w:val="2"/>
        <w:keepNext w:val="0"/>
        <w:keepLines w:val="0"/>
        <w:widowControl/>
        <w:suppressLineNumbers w:val="0"/>
        <w:rPr>
          <w:rFonts w:hint="default" w:ascii="方正仿宋简体" w:hAnsi="方正仿宋简体" w:eastAsia="方正仿宋简体" w:cs="方正仿宋简体"/>
          <w:b/>
          <w:bCs/>
          <w:color w:val="000000"/>
          <w:sz w:val="31"/>
          <w:szCs w:val="31"/>
        </w:rPr>
      </w:pPr>
      <w:r>
        <w:rPr>
          <w:rFonts w:hint="default" w:ascii="方正仿宋简体" w:hAnsi="方正仿宋简体" w:eastAsia="方正仿宋简体" w:cs="方正仿宋简体"/>
          <w:b/>
          <w:bCs/>
          <w:color w:val="000000"/>
          <w:sz w:val="31"/>
          <w:szCs w:val="31"/>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0"/>
        <w:textAlignment w:val="auto"/>
        <w:rPr>
          <w:rFonts w:hint="eastAsia" w:ascii="仿宋" w:hAnsi="仿宋" w:eastAsia="仿宋" w:cs="仿宋"/>
          <w:b w:val="0"/>
          <w:bCs w:val="0"/>
          <w:color w:val="000000"/>
          <w:sz w:val="31"/>
          <w:szCs w:val="31"/>
          <w:lang w:val="en-US" w:eastAsia="zh-CN"/>
        </w:rPr>
      </w:pPr>
      <w:r>
        <w:rPr>
          <w:rFonts w:hint="default" w:ascii="仿宋" w:hAnsi="仿宋" w:eastAsia="仿宋" w:cs="仿宋"/>
          <w:b w:val="0"/>
          <w:bCs w:val="0"/>
          <w:color w:val="000000"/>
          <w:sz w:val="31"/>
          <w:szCs w:val="31"/>
        </w:rPr>
        <w:t>一是个别信息公开不及时</w:t>
      </w:r>
      <w:r>
        <w:rPr>
          <w:rFonts w:hint="eastAsia" w:ascii="仿宋" w:hAnsi="仿宋" w:eastAsia="仿宋" w:cs="仿宋"/>
          <w:b w:val="0"/>
          <w:bCs w:val="0"/>
          <w:color w:val="000000"/>
          <w:sz w:val="31"/>
          <w:szCs w:val="31"/>
          <w:lang w:eastAsia="zh-CN"/>
        </w:rPr>
        <w:t>。</w:t>
      </w:r>
      <w:r>
        <w:rPr>
          <w:rFonts w:hint="eastAsia" w:ascii="仿宋" w:hAnsi="仿宋" w:eastAsia="仿宋" w:cs="仿宋"/>
          <w:b w:val="0"/>
          <w:bCs w:val="0"/>
          <w:color w:val="000000"/>
          <w:sz w:val="31"/>
          <w:szCs w:val="31"/>
          <w:lang w:val="en-US" w:eastAsia="zh-CN"/>
        </w:rPr>
        <w:t>改进措施是加强沟通，争取及时获取信息</w:t>
      </w:r>
      <w:r>
        <w:rPr>
          <w:rFonts w:hint="default" w:ascii="仿宋" w:hAnsi="仿宋" w:eastAsia="仿宋" w:cs="仿宋"/>
          <w:b w:val="0"/>
          <w:bCs w:val="0"/>
          <w:color w:val="000000"/>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line="540" w:lineRule="exact"/>
        <w:ind w:left="0" w:firstLine="640"/>
        <w:textAlignment w:val="auto"/>
        <w:rPr>
          <w:rFonts w:hint="default" w:ascii="仿宋" w:hAnsi="仿宋" w:eastAsia="仿宋" w:cs="仿宋"/>
          <w:b w:val="0"/>
          <w:bCs w:val="0"/>
          <w:color w:val="000000"/>
          <w:sz w:val="31"/>
          <w:szCs w:val="31"/>
        </w:rPr>
      </w:pPr>
      <w:r>
        <w:rPr>
          <w:rFonts w:hint="default" w:ascii="仿宋" w:hAnsi="仿宋" w:eastAsia="仿宋" w:cs="仿宋"/>
          <w:b w:val="0"/>
          <w:bCs w:val="0"/>
          <w:color w:val="000000"/>
          <w:sz w:val="31"/>
          <w:szCs w:val="31"/>
        </w:rPr>
        <w:t>二是</w:t>
      </w:r>
      <w:r>
        <w:rPr>
          <w:rFonts w:hint="eastAsia" w:ascii="仿宋" w:hAnsi="仿宋" w:eastAsia="仿宋" w:cs="仿宋"/>
          <w:b w:val="0"/>
          <w:bCs w:val="0"/>
          <w:color w:val="000000"/>
          <w:sz w:val="31"/>
          <w:szCs w:val="31"/>
          <w:lang w:val="en-US" w:eastAsia="zh-CN"/>
        </w:rPr>
        <w:t>加强培训力度，争取落实政务公开专项资金，适应信息公开新形势。</w:t>
      </w:r>
    </w:p>
    <w:p>
      <w:pPr>
        <w:pStyle w:val="2"/>
        <w:keepNext w:val="0"/>
        <w:keepLines w:val="0"/>
        <w:widowControl/>
        <w:suppressLineNumbers w:val="0"/>
        <w:rPr>
          <w:rFonts w:hint="default" w:ascii="方正仿宋简体" w:hAnsi="方正仿宋简体" w:eastAsia="方正仿宋简体" w:cs="方正仿宋简体"/>
          <w:b/>
          <w:bCs/>
          <w:color w:val="000000"/>
          <w:sz w:val="31"/>
          <w:szCs w:val="31"/>
        </w:rPr>
      </w:pPr>
      <w:r>
        <w:rPr>
          <w:rFonts w:hint="default" w:ascii="方正仿宋简体" w:hAnsi="方正仿宋简体" w:eastAsia="方正仿宋简体" w:cs="方正仿宋简体"/>
          <w:b/>
          <w:bCs/>
          <w:color w:val="000000"/>
          <w:sz w:val="31"/>
          <w:szCs w:val="31"/>
        </w:rPr>
        <w:t>六、其他需要报告的事项</w:t>
      </w:r>
    </w:p>
    <w:p>
      <w:pPr>
        <w:spacing w:line="590" w:lineRule="exact"/>
        <w:ind w:right="-105" w:firstLine="620" w:firstLineChars="200"/>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（一）依据《政府信息公开信息处理费管理办法》收取信息处理费的情况</w:t>
      </w:r>
    </w:p>
    <w:p>
      <w:pPr>
        <w:spacing w:line="590" w:lineRule="exact"/>
        <w:ind w:right="-105"/>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 xml:space="preserve">      无信息处理费</w:t>
      </w:r>
    </w:p>
    <w:p>
      <w:pPr>
        <w:spacing w:line="590" w:lineRule="exact"/>
        <w:ind w:right="-105" w:firstLine="620" w:firstLineChars="200"/>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（二）本行政机关落实上级年度政务公开工作要点情况</w:t>
      </w:r>
    </w:p>
    <w:p>
      <w:pPr>
        <w:spacing w:line="590" w:lineRule="exact"/>
        <w:ind w:right="-105"/>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 xml:space="preserve">      加大公开工作力度，按照最新的基层标准化规范化考核要求，力求细化扎实。</w:t>
      </w:r>
    </w:p>
    <w:p>
      <w:pPr>
        <w:spacing w:line="590" w:lineRule="exact"/>
        <w:ind w:right="-105" w:firstLine="620" w:firstLineChars="200"/>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 xml:space="preserve">（三）本行政机关人大代表建议和政协提案办理结果公开情况 </w:t>
      </w:r>
    </w:p>
    <w:p>
      <w:pPr>
        <w:spacing w:line="590" w:lineRule="exact"/>
        <w:ind w:right="-105"/>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 xml:space="preserve">      县十九届人大一次会议以来，微山县自然资源和规划局共收到人大建议18条，内容涉及乡镇街道规划、基础设施建设、稀土开采和产业发展，自然保护区保护、林场管理等；收到政协提案21条，内容涉及国土空间规划、土地权属、闲置土地盘活、生态保护、塌陷区治理和土地复垦、地热资源利用、林区管理、植树绿化、飞絮治理等。所有建议提案均在规定期限内回复完毕，办付率、满意和基本满意率均为100%。</w:t>
      </w:r>
    </w:p>
    <w:p>
      <w:pPr>
        <w:spacing w:line="590" w:lineRule="exact"/>
        <w:ind w:right="-105" w:firstLine="620" w:firstLineChars="200"/>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（四）本行政机关年度政务公开工作创新情况</w:t>
      </w:r>
    </w:p>
    <w:p>
      <w:pPr>
        <w:spacing w:line="590" w:lineRule="exact"/>
        <w:ind w:right="-105"/>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 xml:space="preserve">      无</w:t>
      </w:r>
    </w:p>
    <w:p>
      <w:pPr>
        <w:spacing w:line="590" w:lineRule="exact"/>
        <w:ind w:right="-105" w:firstLine="620" w:firstLineChars="200"/>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（五）本行政机关政府信息公开工作年度报告数据统计需要说明的事项</w:t>
      </w:r>
    </w:p>
    <w:p>
      <w:pPr>
        <w:spacing w:line="590" w:lineRule="exact"/>
        <w:ind w:right="-105"/>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 xml:space="preserve">      无</w:t>
      </w:r>
    </w:p>
    <w:p>
      <w:pPr>
        <w:spacing w:line="590" w:lineRule="exact"/>
        <w:ind w:right="-105" w:firstLine="620" w:firstLineChars="200"/>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 xml:space="preserve"> (六）本行政机关认为需要报告的其他事项</w:t>
      </w:r>
    </w:p>
    <w:p>
      <w:pPr>
        <w:spacing w:line="590" w:lineRule="exact"/>
        <w:ind w:right="-105"/>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 xml:space="preserve">      无。</w:t>
      </w:r>
    </w:p>
    <w:p>
      <w:pPr>
        <w:spacing w:line="590" w:lineRule="exact"/>
        <w:ind w:right="-105" w:firstLine="620" w:firstLineChars="200"/>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（七）其他有关文件专门要求通过政府信息公开工作年度报告予以报告的事项</w:t>
      </w:r>
    </w:p>
    <w:p>
      <w:pPr>
        <w:spacing w:line="590" w:lineRule="exact"/>
        <w:ind w:right="-105"/>
        <w:jc w:val="left"/>
        <w:rPr>
          <w:rFonts w:hint="eastAsia" w:ascii="仿宋" w:hAnsi="仿宋" w:eastAsia="仿宋" w:cs="仿宋"/>
          <w:b w:val="0"/>
          <w:bCs w:val="0"/>
          <w:color w:val="000000"/>
          <w:sz w:val="31"/>
          <w:szCs w:val="31"/>
        </w:rPr>
      </w:pPr>
      <w:r>
        <w:rPr>
          <w:rFonts w:hint="eastAsia" w:ascii="仿宋" w:hAnsi="仿宋" w:eastAsia="仿宋" w:cs="仿宋"/>
          <w:b w:val="0"/>
          <w:bCs w:val="0"/>
          <w:color w:val="000000"/>
          <w:sz w:val="31"/>
          <w:szCs w:val="31"/>
        </w:rPr>
        <w:t xml:space="preserve">      无。</w:t>
      </w:r>
    </w:p>
    <w:p>
      <w:pPr>
        <w:spacing w:line="590" w:lineRule="exact"/>
        <w:ind w:right="-105"/>
        <w:jc w:val="left"/>
        <w:rPr>
          <w:rFonts w:hint="eastAsia" w:ascii="仿宋" w:hAnsi="仿宋" w:eastAsia="仿宋" w:cs="仿宋"/>
          <w:b w:val="0"/>
          <w:bCs w:val="0"/>
          <w:color w:val="000000"/>
          <w:sz w:val="31"/>
          <w:szCs w:val="31"/>
        </w:rPr>
      </w:pPr>
    </w:p>
    <w:p>
      <w:pPr>
        <w:spacing w:line="590" w:lineRule="exact"/>
        <w:ind w:right="-105"/>
        <w:jc w:val="left"/>
        <w:rPr>
          <w:rFonts w:hint="eastAsia" w:ascii="仿宋" w:hAnsi="仿宋" w:eastAsia="仿宋" w:cs="仿宋"/>
          <w:b w:val="0"/>
          <w:bCs w:val="0"/>
          <w:color w:val="000000"/>
          <w:sz w:val="31"/>
          <w:szCs w:val="31"/>
        </w:rPr>
      </w:pPr>
    </w:p>
    <w:p>
      <w:pPr>
        <w:spacing w:line="590" w:lineRule="exact"/>
        <w:ind w:right="-105"/>
        <w:jc w:val="left"/>
        <w:rPr>
          <w:rFonts w:hint="eastAsia" w:ascii="仿宋" w:hAnsi="仿宋" w:eastAsia="仿宋" w:cs="仿宋"/>
          <w:b w:val="0"/>
          <w:bCs w:val="0"/>
          <w:color w:val="000000"/>
          <w:sz w:val="31"/>
          <w:szCs w:val="31"/>
        </w:rPr>
      </w:pPr>
    </w:p>
    <w:p>
      <w:pPr>
        <w:spacing w:line="590" w:lineRule="exact"/>
        <w:ind w:right="-105"/>
        <w:jc w:val="left"/>
        <w:rPr>
          <w:rFonts w:hint="eastAsia" w:ascii="仿宋" w:hAnsi="仿宋" w:eastAsia="仿宋" w:cs="仿宋"/>
          <w:b w:val="0"/>
          <w:bCs w:val="0"/>
          <w:color w:val="000000"/>
          <w:sz w:val="31"/>
          <w:szCs w:val="31"/>
        </w:rPr>
      </w:pPr>
    </w:p>
    <w:p>
      <w:pPr>
        <w:spacing w:line="590" w:lineRule="exact"/>
        <w:ind w:right="-105" w:firstLine="1761" w:firstLineChars="400"/>
        <w:jc w:val="left"/>
        <w:rPr>
          <w:rFonts w:ascii="Times New Roman" w:hAnsi="Times New Roman" w:eastAsia="文星标宋"/>
          <w:b/>
          <w:sz w:val="44"/>
          <w:szCs w:val="44"/>
        </w:rPr>
      </w:pPr>
      <w:r>
        <w:rPr>
          <w:rFonts w:hint="eastAsia" w:ascii="Times New Roman" w:hAnsi="Times New Roman" w:eastAsia="文星标宋"/>
          <w:b/>
          <w:sz w:val="44"/>
          <w:szCs w:val="44"/>
        </w:rPr>
        <w:t>微山县自然资源和规划局</w:t>
      </w:r>
      <w:r>
        <w:rPr>
          <w:rFonts w:ascii="Times New Roman" w:hAnsi="Times New Roman" w:eastAsia="文星标宋"/>
          <w:b/>
          <w:sz w:val="44"/>
          <w:szCs w:val="44"/>
        </w:rPr>
        <w:t>202</w:t>
      </w:r>
      <w:r>
        <w:rPr>
          <w:rFonts w:hint="eastAsia" w:eastAsia="文星标宋"/>
          <w:b/>
          <w:sz w:val="44"/>
          <w:szCs w:val="44"/>
          <w:lang w:val="en-US" w:eastAsia="zh-CN"/>
        </w:rPr>
        <w:t>2</w:t>
      </w:r>
      <w:r>
        <w:rPr>
          <w:rFonts w:ascii="Times New Roman" w:hAnsi="Times New Roman" w:eastAsia="文星标宋"/>
          <w:b/>
          <w:sz w:val="44"/>
          <w:szCs w:val="44"/>
        </w:rPr>
        <w:t>年</w:t>
      </w:r>
    </w:p>
    <w:p>
      <w:pPr>
        <w:spacing w:line="590" w:lineRule="exact"/>
        <w:ind w:right="-105"/>
        <w:jc w:val="center"/>
        <w:rPr>
          <w:rFonts w:ascii="Times New Roman" w:hAnsi="Times New Roman" w:eastAsia="文星标宋"/>
          <w:b/>
          <w:sz w:val="44"/>
          <w:szCs w:val="44"/>
        </w:rPr>
      </w:pPr>
      <w:r>
        <w:rPr>
          <w:rFonts w:ascii="Times New Roman" w:hAnsi="Times New Roman" w:eastAsia="文星标宋"/>
          <w:b/>
          <w:sz w:val="44"/>
          <w:szCs w:val="44"/>
        </w:rPr>
        <w:t>政府信息公开情况统计表</w:t>
      </w:r>
    </w:p>
    <w:tbl>
      <w:tblPr>
        <w:tblStyle w:val="3"/>
        <w:tblW w:w="5026" w:type="pct"/>
        <w:jc w:val="center"/>
        <w:tblLayout w:type="autofit"/>
        <w:tblCellMar>
          <w:top w:w="0" w:type="dxa"/>
          <w:left w:w="10" w:type="dxa"/>
          <w:bottom w:w="0" w:type="dxa"/>
          <w:right w:w="10" w:type="dxa"/>
        </w:tblCellMar>
      </w:tblPr>
      <w:tblGrid>
        <w:gridCol w:w="7403"/>
        <w:gridCol w:w="960"/>
        <w:gridCol w:w="1079"/>
      </w:tblGrid>
      <w:tr>
        <w:tblPrEx>
          <w:tblCellMar>
            <w:top w:w="0" w:type="dxa"/>
            <w:left w:w="10" w:type="dxa"/>
            <w:bottom w:w="0" w:type="dxa"/>
            <w:right w:w="10" w:type="dxa"/>
          </w:tblCellMar>
        </w:tblPrEx>
        <w:trPr>
          <w:trHeight w:val="400" w:hRule="exact"/>
          <w:tblHeader/>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黑体"/>
                <w:b/>
                <w:sz w:val="28"/>
                <w:szCs w:val="28"/>
              </w:rPr>
            </w:pPr>
            <w:r>
              <w:rPr>
                <w:rFonts w:ascii="Times New Roman" w:hAnsi="Times New Roman" w:eastAsia="文星黑体"/>
                <w:b/>
                <w:sz w:val="28"/>
                <w:szCs w:val="28"/>
              </w:rPr>
              <w:t>统　计　指　标</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黑体"/>
                <w:b/>
                <w:sz w:val="28"/>
                <w:szCs w:val="28"/>
              </w:rPr>
            </w:pPr>
            <w:r>
              <w:rPr>
                <w:rFonts w:ascii="Times New Roman" w:hAnsi="Times New Roman" w:eastAsia="文星黑体"/>
                <w:b/>
                <w:sz w:val="28"/>
                <w:szCs w:val="28"/>
              </w:rPr>
              <w:t>单位</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黑体"/>
                <w:b/>
                <w:sz w:val="28"/>
                <w:szCs w:val="28"/>
              </w:rPr>
            </w:pPr>
            <w:r>
              <w:rPr>
                <w:rFonts w:ascii="Times New Roman" w:hAnsi="Times New Roman" w:eastAsia="文星黑体"/>
                <w:b/>
                <w:sz w:val="28"/>
                <w:szCs w:val="28"/>
              </w:rPr>
              <w:t>统计数</w:t>
            </w:r>
          </w:p>
        </w:tc>
      </w:tr>
      <w:tr>
        <w:tblPrEx>
          <w:tblCellMar>
            <w:top w:w="0" w:type="dxa"/>
            <w:left w:w="10" w:type="dxa"/>
            <w:bottom w:w="0" w:type="dxa"/>
            <w:right w:w="10" w:type="dxa"/>
          </w:tblCellMar>
        </w:tblPrEx>
        <w:trPr>
          <w:trHeight w:val="574" w:hRule="atLeas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32"/>
                <w:szCs w:val="32"/>
              </w:rPr>
            </w:pPr>
            <w:r>
              <w:rPr>
                <w:rFonts w:ascii="Times New Roman" w:hAnsi="Times New Roman" w:eastAsia="文星楷体"/>
                <w:b/>
                <w:sz w:val="32"/>
                <w:szCs w:val="32"/>
              </w:rPr>
              <w:t>一</w:t>
            </w:r>
            <w:r>
              <w:rPr>
                <w:rFonts w:ascii="Times New Roman" w:hAnsi="Times New Roman" w:eastAsia="文星楷体"/>
                <w:b/>
                <w:sz w:val="28"/>
                <w:szCs w:val="28"/>
              </w:rPr>
              <w:t>、主动公开情况</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mc:AlternateContent>
              <mc:Choice Requires="wpsCustomData">
                <wpsCustomData:diagonals>
                  <wpsCustomData:diagonal from="20000" to="0">
                    <wpsCustomData:border w:val="single" w:color="000000" w:sz="6" w:space="0"/>
                  </wpsCustomData:diagonal>
                </wpsCustomData:diagonals>
              </mc:Choice>
            </mc:AlternateContent>
          </w:tcPr>
          <w:p>
            <w:pPr>
              <w:snapToGrid w:val="0"/>
              <w:spacing w:line="240" w:lineRule="auto"/>
              <mc:AlternateContent>
                <mc:Choice Requires="wpsCustomData">
                  <wpsCustomData:diagonalParaType/>
                </mc:Choice>
              </mc:AlternateContent>
              <w:rPr>
                <w:rFonts w:ascii="Times New Roman" w:hAnsi="Times New Roman" w:eastAsia="文星仿宋"/>
                <w:b/>
                <w:sz w:val="32"/>
                <w:szCs w:val="32"/>
              </w:rPr>
            </w:pPr>
          </w:p>
          <w:p>
            <w:pPr>
              <w:spacing w:line="400" w:lineRule="exact"/>
              <w:rPr>
                <w:rFonts w:ascii="Times New Roman" w:hAnsi="Times New Roman" w:eastAsia="文星仿宋"/>
                <w:b/>
                <w:sz w:val="32"/>
                <w:szCs w:val="32"/>
              </w:rPr>
            </w:pP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32"/>
                <w:szCs w:val="32"/>
              </w:rPr>
            </w:pPr>
          </w:p>
        </w:tc>
      </w:tr>
      <w:tr>
        <w:tblPrEx>
          <w:tblCellMar>
            <w:top w:w="0" w:type="dxa"/>
            <w:left w:w="10" w:type="dxa"/>
            <w:bottom w:w="0" w:type="dxa"/>
            <w:right w:w="10" w:type="dxa"/>
          </w:tblCellMar>
        </w:tblPrEx>
        <w:trPr>
          <w:trHeight w:val="513" w:hRule="atLeas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（一）主动公开政府信息数（不同渠道和方式公开相同信息计1条）</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default" w:ascii="Times New Roman" w:hAnsi="Times New Roman" w:eastAsia="文星仿宋"/>
                <w:b w:val="0"/>
                <w:bCs/>
                <w:sz w:val="24"/>
                <w:szCs w:val="24"/>
                <w:lang w:val="en-US" w:eastAsia="zh-CN"/>
              </w:rPr>
            </w:pPr>
            <w:r>
              <w:rPr>
                <w:rFonts w:hint="eastAsia" w:eastAsia="文星仿宋"/>
                <w:b w:val="0"/>
                <w:bCs/>
                <w:sz w:val="24"/>
                <w:szCs w:val="24"/>
                <w:lang w:val="en-US" w:eastAsia="zh-CN"/>
              </w:rPr>
              <w:t>177</w:t>
            </w:r>
          </w:p>
        </w:tc>
      </w:tr>
      <w:tr>
        <w:tblPrEx>
          <w:tblCellMar>
            <w:top w:w="0" w:type="dxa"/>
            <w:left w:w="10" w:type="dxa"/>
            <w:bottom w:w="0" w:type="dxa"/>
            <w:right w:w="10" w:type="dxa"/>
          </w:tblCellMar>
        </w:tblPrEx>
        <w:trPr>
          <w:trHeight w:val="586" w:hRule="atLeas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（二）通过不同渠道和方式公开政府信息的情况</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mc:AlternateContent>
              <mc:Choice Requires="wpsCustomData">
                <wpsCustomData:diagonals>
                  <wpsCustomData:diagonal from="20000" to="0">
                    <wpsCustomData:border w:val="single" w:color="000000" w:sz="6"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ascii="Times New Roman" w:hAnsi="Times New Roman" w:eastAsia="文星仿宋"/>
                <w:b w:val="0"/>
                <w:bCs/>
                <w:sz w:val="24"/>
                <w:szCs w:val="24"/>
              </w:rPr>
            </w:pPr>
          </w:p>
          <w:p>
            <w:pPr>
              <w:spacing w:line="400" w:lineRule="exact"/>
              <w:jc w:val="center"/>
              <w:rPr>
                <w:rFonts w:ascii="Times New Roman" w:hAnsi="Times New Roman" w:eastAsia="文星仿宋"/>
                <w:b w:val="0"/>
                <w:bCs/>
                <w:sz w:val="24"/>
                <w:szCs w:val="24"/>
              </w:rPr>
            </w:pP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1.政府公报公开政府信息数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2.政府网站公开政府信息数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default" w:ascii="Times New Roman" w:hAnsi="Times New Roman" w:eastAsia="文星仿宋"/>
                <w:b w:val="0"/>
                <w:bCs/>
                <w:sz w:val="24"/>
                <w:szCs w:val="24"/>
                <w:lang w:val="en-US" w:eastAsia="zh-CN"/>
              </w:rPr>
            </w:pPr>
            <w:r>
              <w:rPr>
                <w:rFonts w:hint="eastAsia" w:eastAsia="文星仿宋"/>
                <w:b w:val="0"/>
                <w:bCs/>
                <w:sz w:val="24"/>
                <w:szCs w:val="24"/>
                <w:lang w:val="en-US" w:eastAsia="zh-CN"/>
              </w:rPr>
              <w:t>167</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3.政务微博公开政府信息数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4.政务微信公开政府信息数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5.其他方式公开政府信息数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lang w:val="en-US" w:eastAsia="zh-CN"/>
              </w:rPr>
            </w:pPr>
            <w:r>
              <w:rPr>
                <w:rFonts w:hint="eastAsia" w:ascii="Times New Roman" w:hAnsi="Times New Roman" w:eastAsia="文星仿宋"/>
                <w:b w:val="0"/>
                <w:bCs/>
                <w:sz w:val="24"/>
                <w:szCs w:val="24"/>
              </w:rPr>
              <w:t>1</w:t>
            </w:r>
            <w:r>
              <w:rPr>
                <w:rFonts w:hint="eastAsia" w:eastAsia="文星仿宋"/>
                <w:b w:val="0"/>
                <w:bCs/>
                <w:sz w:val="24"/>
                <w:szCs w:val="24"/>
                <w:lang w:val="en-US" w:eastAsia="zh-CN"/>
              </w:rPr>
              <w:t>0</w:t>
            </w:r>
          </w:p>
        </w:tc>
      </w:tr>
      <w:tr>
        <w:tblPrEx>
          <w:tblCellMar>
            <w:top w:w="0" w:type="dxa"/>
            <w:left w:w="10" w:type="dxa"/>
            <w:bottom w:w="0" w:type="dxa"/>
            <w:right w:w="10" w:type="dxa"/>
          </w:tblCellMar>
        </w:tblPrEx>
        <w:trPr>
          <w:trHeight w:val="90" w:hRule="atLeas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ascii="Times New Roman" w:hAnsi="Times New Roman" w:eastAsia="文星楷体"/>
                <w:b/>
                <w:sz w:val="32"/>
                <w:szCs w:val="32"/>
              </w:rPr>
              <w:t>二、回应解读情况</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mc:AlternateContent>
              <mc:Choice Requires="wpsCustomData">
                <wpsCustomData:diagonals>
                  <wpsCustomData:diagonal from="20000" to="0">
                    <wpsCustomData:border w:val="single" w:color="000000" w:sz="6"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ascii="Times New Roman" w:hAnsi="Times New Roman" w:eastAsia="文星仿宋"/>
                <w:b/>
                <w:sz w:val="28"/>
                <w:szCs w:val="28"/>
              </w:rPr>
            </w:pPr>
          </w:p>
          <w:p>
            <w:pPr>
              <w:spacing w:line="400" w:lineRule="exact"/>
              <w:jc w:val="center"/>
              <w:rPr>
                <w:rFonts w:ascii="Times New Roman" w:hAnsi="Times New Roman" w:eastAsia="文星仿宋"/>
                <w:b/>
                <w:sz w:val="28"/>
                <w:szCs w:val="28"/>
              </w:rPr>
            </w:pPr>
          </w:p>
        </w:tc>
        <w:tc>
          <w:tcPr>
            <w:tcW w:w="571" w:type="pct"/>
            <w:tcBorders>
              <w:top w:val="single" w:color="000000" w:sz="0" w:space="0"/>
              <w:left w:val="single" w:color="000000" w:sz="0" w:space="0"/>
              <w:bottom w:val="single" w:color="000000" w:sz="0" w:space="0"/>
              <w:right w:val="single" w:color="0A0A0A"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　　　　1.参加或举办新闻发布会总次数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　　　　　其中：主要负责同志参加新闻发布会次数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　　　　2.政府网站在线访谈次数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　　　　　其中：主要负责同志参加政府网站在线访谈次数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hint="eastAsia" w:ascii="仿宋" w:hAnsi="仿宋" w:eastAsia="仿宋" w:cs="仿宋"/>
                <w:b w:val="0"/>
                <w:bCs/>
                <w:sz w:val="24"/>
                <w:szCs w:val="24"/>
                <w:lang w:eastAsia="zh-CN"/>
              </w:rPr>
            </w:pPr>
            <w:r>
              <w:rPr>
                <w:rFonts w:hint="eastAsia" w:ascii="仿宋" w:hAnsi="仿宋" w:eastAsia="仿宋" w:cs="仿宋"/>
                <w:b w:val="0"/>
                <w:bCs/>
                <w:sz w:val="24"/>
                <w:szCs w:val="24"/>
              </w:rPr>
              <w:t>　　　　3.政策解读</w:t>
            </w:r>
            <w:r>
              <w:rPr>
                <w:rFonts w:hint="eastAsia" w:ascii="仿宋" w:hAnsi="仿宋" w:eastAsia="仿宋" w:cs="仿宋"/>
                <w:b w:val="0"/>
                <w:bCs/>
                <w:sz w:val="24"/>
                <w:szCs w:val="24"/>
                <w:lang w:val="en-US" w:eastAsia="zh-CN"/>
              </w:rPr>
              <w:t>总次数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2</w:t>
            </w:r>
          </w:p>
        </w:tc>
      </w:tr>
      <w:tr>
        <w:tblPrEx>
          <w:tblCellMar>
            <w:top w:w="0" w:type="dxa"/>
            <w:left w:w="10" w:type="dxa"/>
            <w:bottom w:w="0" w:type="dxa"/>
            <w:right w:w="10" w:type="dxa"/>
          </w:tblCellMar>
        </w:tblPrEx>
        <w:trPr>
          <w:trHeight w:val="395"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　　　　</w:t>
            </w: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rPr>
              <w:t>其中：视频音频解读次数</w:t>
            </w:r>
          </w:p>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图文解读次数图文解读次数</w:t>
            </w:r>
          </w:p>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媒体解读次数媒体解读次数</w:t>
            </w:r>
          </w:p>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其中：视频音频解读次数其中：视频音频解读次数</w:t>
            </w:r>
          </w:p>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媒体解读次数媒体解读次数</w:t>
            </w:r>
          </w:p>
          <w:p>
            <w:pPr>
              <w:spacing w:line="400" w:lineRule="exact"/>
              <w:rPr>
                <w:rFonts w:hint="eastAsia" w:ascii="仿宋" w:hAnsi="仿宋" w:eastAsia="仿宋" w:cs="仿宋"/>
                <w:b w:val="0"/>
                <w:bCs/>
                <w:sz w:val="24"/>
                <w:szCs w:val="24"/>
              </w:rPr>
            </w:pPr>
            <w:r>
              <w:rPr>
                <w:rFonts w:hint="eastAsia" w:ascii="仿宋" w:hAnsi="仿宋" w:eastAsia="仿宋" w:cs="仿宋"/>
                <w:b w:val="0"/>
                <w:bCs/>
                <w:sz w:val="24"/>
                <w:szCs w:val="24"/>
              </w:rPr>
              <w:t>图文解读次数图文解读次数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0</w:t>
            </w:r>
          </w:p>
        </w:tc>
      </w:tr>
      <w:tr>
        <w:tblPrEx>
          <w:tblCellMar>
            <w:top w:w="0" w:type="dxa"/>
            <w:left w:w="10" w:type="dxa"/>
            <w:bottom w:w="0" w:type="dxa"/>
            <w:right w:w="10" w:type="dxa"/>
          </w:tblCellMar>
        </w:tblPrEx>
        <w:trPr>
          <w:trHeight w:val="395"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图文解读次数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                 媒体解读次数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w:t>
            </w:r>
          </w:p>
        </w:tc>
      </w:tr>
      <w:tr>
        <w:tblPrEx>
          <w:tblCellMar>
            <w:top w:w="0" w:type="dxa"/>
            <w:left w:w="10" w:type="dxa"/>
            <w:bottom w:w="0" w:type="dxa"/>
            <w:right w:w="10" w:type="dxa"/>
          </w:tblCellMar>
        </w:tblPrEx>
        <w:trPr>
          <w:trHeight w:val="616" w:hRule="exact"/>
          <w:jc w:val="center"/>
        </w:trPr>
        <w:tc>
          <w:tcPr>
            <w:tcW w:w="3919"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rPr>
                <w:rFonts w:hint="eastAsia" w:ascii="Times New Roman" w:hAnsi="Times New Roman" w:eastAsia="文星楷体"/>
                <w:b/>
                <w:sz w:val="28"/>
                <w:szCs w:val="28"/>
                <w:lang w:eastAsia="zh-CN"/>
              </w:rPr>
            </w:pPr>
            <w:r>
              <w:rPr>
                <w:rFonts w:ascii="Times New Roman" w:hAnsi="Times New Roman" w:eastAsia="文星楷体"/>
                <w:b/>
                <w:sz w:val="32"/>
                <w:szCs w:val="32"/>
              </w:rPr>
              <w:t>三、设立</w:t>
            </w:r>
            <w:r>
              <w:rPr>
                <w:rFonts w:hint="eastAsia" w:eastAsia="文星楷体"/>
                <w:b/>
                <w:sz w:val="32"/>
                <w:szCs w:val="32"/>
                <w:lang w:val="en-US" w:eastAsia="zh-CN"/>
              </w:rPr>
              <w:t>政府</w:t>
            </w:r>
            <w:r>
              <w:rPr>
                <w:rFonts w:ascii="Times New Roman" w:hAnsi="Times New Roman" w:eastAsia="文星楷体"/>
                <w:b/>
                <w:sz w:val="32"/>
                <w:szCs w:val="32"/>
              </w:rPr>
              <w:t>信息公开专</w:t>
            </w:r>
            <w:r>
              <w:rPr>
                <w:rFonts w:hint="eastAsia" w:eastAsia="文星楷体"/>
                <w:b/>
                <w:sz w:val="32"/>
                <w:szCs w:val="32"/>
                <w:lang w:val="en-US" w:eastAsia="zh-CN"/>
              </w:rPr>
              <w:t>区</w:t>
            </w:r>
          </w:p>
        </w:tc>
        <w:tc>
          <w:tcPr>
            <w:tcW w:w="508"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个</w:t>
            </w:r>
          </w:p>
        </w:tc>
        <w:tc>
          <w:tcPr>
            <w:tcW w:w="571"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lang w:val="en-US" w:eastAsia="zh-CN"/>
              </w:rPr>
            </w:pPr>
            <w:r>
              <w:rPr>
                <w:rFonts w:hint="eastAsia" w:eastAsia="文星仿宋"/>
                <w:b/>
                <w:sz w:val="28"/>
                <w:szCs w:val="28"/>
                <w:lang w:val="en-US" w:eastAsia="zh-CN"/>
              </w:rPr>
              <w:t>0</w:t>
            </w:r>
          </w:p>
        </w:tc>
      </w:tr>
      <w:tr>
        <w:tblPrEx>
          <w:tblCellMar>
            <w:top w:w="0" w:type="dxa"/>
            <w:left w:w="10" w:type="dxa"/>
            <w:bottom w:w="0" w:type="dxa"/>
            <w:right w:w="10" w:type="dxa"/>
          </w:tblCellMar>
        </w:tblPrEx>
        <w:trPr>
          <w:trHeight w:val="322" w:hRule="atLeast"/>
          <w:jc w:val="center"/>
        </w:trPr>
        <w:tc>
          <w:tcPr>
            <w:tcW w:w="3919"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（一）市政府部门</w:t>
            </w:r>
          </w:p>
        </w:tc>
        <w:tc>
          <w:tcPr>
            <w:tcW w:w="508"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个</w:t>
            </w:r>
          </w:p>
        </w:tc>
        <w:tc>
          <w:tcPr>
            <w:tcW w:w="571"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val="0"/>
                <w:bCs/>
                <w:sz w:val="24"/>
                <w:szCs w:val="24"/>
              </w:rPr>
            </w:pPr>
            <w:r>
              <w:rPr>
                <w:rFonts w:ascii="Times New Roman" w:hAnsi="Times New Roman" w:eastAsia="文星仿宋"/>
                <w:b w:val="0"/>
                <w:bCs/>
                <w:sz w:val="24"/>
                <w:szCs w:val="24"/>
              </w:rPr>
              <w:t>（二）县（市、区）政府及其部门</w:t>
            </w:r>
          </w:p>
        </w:tc>
        <w:tc>
          <w:tcPr>
            <w:tcW w:w="508"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个</w:t>
            </w:r>
          </w:p>
        </w:tc>
        <w:tc>
          <w:tcPr>
            <w:tcW w:w="571"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lang w:val="en-US" w:eastAsia="zh-CN"/>
              </w:rPr>
            </w:pPr>
            <w:r>
              <w:rPr>
                <w:rFonts w:hint="eastAsia" w:eastAsia="文星仿宋"/>
                <w:b w:val="0"/>
                <w:bCs/>
                <w:sz w:val="24"/>
                <w:szCs w:val="24"/>
                <w:lang w:val="en-US" w:eastAsia="zh-CN"/>
              </w:rPr>
              <w:t>0</w:t>
            </w:r>
          </w:p>
        </w:tc>
      </w:tr>
      <w:tr>
        <w:tblPrEx>
          <w:tblCellMar>
            <w:top w:w="0" w:type="dxa"/>
            <w:left w:w="10" w:type="dxa"/>
            <w:bottom w:w="0" w:type="dxa"/>
            <w:right w:w="10" w:type="dxa"/>
          </w:tblCellMar>
        </w:tblPrEx>
        <w:trPr>
          <w:trHeight w:val="433" w:hRule="exact"/>
          <w:jc w:val="center"/>
        </w:trPr>
        <w:tc>
          <w:tcPr>
            <w:tcW w:w="3919"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val="0"/>
                <w:bCs/>
                <w:sz w:val="24"/>
                <w:szCs w:val="24"/>
              </w:rPr>
            </w:pPr>
            <w:r>
              <w:rPr>
                <w:rFonts w:ascii="Times New Roman" w:hAnsi="Times New Roman" w:eastAsia="文星仿宋"/>
                <w:b w:val="0"/>
                <w:bCs/>
                <w:sz w:val="24"/>
                <w:szCs w:val="24"/>
              </w:rPr>
              <w:t>（三）乡镇政府（街道办事处）</w:t>
            </w:r>
          </w:p>
        </w:tc>
        <w:tc>
          <w:tcPr>
            <w:tcW w:w="508"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个</w:t>
            </w:r>
          </w:p>
        </w:tc>
        <w:tc>
          <w:tcPr>
            <w:tcW w:w="571"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rPr>
                <w:rFonts w:hint="eastAsia" w:ascii="Times New Roman" w:hAnsi="Times New Roman" w:eastAsia="文星楷体"/>
                <w:b/>
                <w:sz w:val="32"/>
                <w:szCs w:val="32"/>
              </w:rPr>
            </w:pPr>
            <w:r>
              <w:rPr>
                <w:rFonts w:hint="eastAsia" w:eastAsia="文星楷体"/>
                <w:b/>
                <w:sz w:val="32"/>
                <w:szCs w:val="32"/>
                <w:lang w:val="en-US" w:eastAsia="zh-CN"/>
              </w:rPr>
              <w:t>四</w:t>
            </w:r>
            <w:r>
              <w:rPr>
                <w:rFonts w:ascii="Times New Roman" w:hAnsi="Times New Roman" w:eastAsia="文星楷体"/>
                <w:b/>
                <w:sz w:val="32"/>
                <w:szCs w:val="32"/>
              </w:rPr>
              <w:t>、</w:t>
            </w:r>
            <w:r>
              <w:rPr>
                <w:rFonts w:hint="eastAsia" w:ascii="Times New Roman" w:hAnsi="Times New Roman" w:eastAsia="文星楷体"/>
                <w:b/>
                <w:sz w:val="32"/>
                <w:szCs w:val="32"/>
              </w:rPr>
              <w:t>信息公开专区接待人数</w:t>
            </w:r>
          </w:p>
          <w:p>
            <w:pPr>
              <w:spacing w:line="400" w:lineRule="exact"/>
              <w:rPr>
                <w:rFonts w:ascii="Times New Roman" w:hAnsi="Times New Roman" w:eastAsia="文星仿宋"/>
                <w:b/>
                <w:sz w:val="28"/>
                <w:szCs w:val="28"/>
              </w:rPr>
            </w:pPr>
            <w:r>
              <w:rPr>
                <w:rFonts w:hint="eastAsia" w:ascii="Times New Roman" w:hAnsi="Times New Roman" w:eastAsia="文星楷体"/>
                <w:b/>
                <w:sz w:val="32"/>
                <w:szCs w:val="32"/>
              </w:rPr>
              <w:t>信息公开专区接待人数信息公开专区接待人数</w:t>
            </w:r>
            <w:r>
              <w:rPr>
                <w:rFonts w:ascii="Times New Roman" w:hAnsi="Times New Roman" w:eastAsia="文星楷体"/>
                <w:b/>
                <w:sz w:val="32"/>
                <w:szCs w:val="32"/>
              </w:rPr>
              <w:t>接待人数</w:t>
            </w:r>
          </w:p>
        </w:tc>
        <w:tc>
          <w:tcPr>
            <w:tcW w:w="508"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r>
              <w:rPr>
                <w:rFonts w:ascii="Times New Roman" w:hAnsi="Times New Roman" w:eastAsia="文星仿宋"/>
                <w:b/>
                <w:sz w:val="28"/>
                <w:szCs w:val="28"/>
              </w:rPr>
              <w:t>次</w:t>
            </w:r>
          </w:p>
        </w:tc>
        <w:tc>
          <w:tcPr>
            <w:tcW w:w="571"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sz w:val="28"/>
                <w:szCs w:val="28"/>
              </w:rPr>
            </w:pPr>
            <w:r>
              <w:rPr>
                <w:rFonts w:hint="eastAsia" w:ascii="Times New Roman" w:hAnsi="Times New Roman" w:eastAsia="文星仿宋"/>
                <w:b/>
                <w:sz w:val="28"/>
                <w:szCs w:val="28"/>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val="0"/>
                <w:bCs/>
                <w:sz w:val="24"/>
                <w:szCs w:val="24"/>
              </w:rPr>
            </w:pPr>
            <w:r>
              <w:rPr>
                <w:rFonts w:ascii="Times New Roman" w:hAnsi="Times New Roman" w:eastAsia="文星仿宋"/>
                <w:b w:val="0"/>
                <w:bCs/>
                <w:sz w:val="24"/>
                <w:szCs w:val="24"/>
              </w:rPr>
              <w:t>（一）市政府及其部门</w:t>
            </w:r>
          </w:p>
        </w:tc>
        <w:tc>
          <w:tcPr>
            <w:tcW w:w="508"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次</w:t>
            </w:r>
          </w:p>
        </w:tc>
        <w:tc>
          <w:tcPr>
            <w:tcW w:w="571"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val="0"/>
                <w:bCs/>
                <w:sz w:val="24"/>
                <w:szCs w:val="24"/>
              </w:rPr>
            </w:pPr>
            <w:r>
              <w:rPr>
                <w:rFonts w:ascii="Times New Roman" w:hAnsi="Times New Roman" w:eastAsia="文星仿宋"/>
                <w:b w:val="0"/>
                <w:bCs/>
                <w:sz w:val="24"/>
                <w:szCs w:val="24"/>
              </w:rPr>
              <w:t>（二）县（市、区）政府及其部门</w:t>
            </w:r>
          </w:p>
        </w:tc>
        <w:tc>
          <w:tcPr>
            <w:tcW w:w="508"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次</w:t>
            </w:r>
          </w:p>
        </w:tc>
        <w:tc>
          <w:tcPr>
            <w:tcW w:w="571" w:type="pct"/>
            <w:tcBorders>
              <w:top w:val="single" w:color="000000" w:sz="4"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4" w:space="0"/>
              <w:left w:val="single" w:color="000000" w:sz="6" w:space="0"/>
              <w:bottom w:val="nil"/>
              <w:right w:val="single" w:color="000000" w:sz="6" w:space="0"/>
            </w:tcBorders>
            <w:tcMar>
              <w:top w:w="0" w:type="dxa"/>
              <w:left w:w="0" w:type="dxa"/>
              <w:bottom w:w="0" w:type="dxa"/>
              <w:right w:w="0" w:type="dxa"/>
            </w:tcMar>
            <w:vAlign w:val="center"/>
          </w:tcPr>
          <w:p>
            <w:pPr>
              <w:spacing w:line="400" w:lineRule="exact"/>
              <w:ind w:firstLine="560"/>
              <w:rPr>
                <w:rFonts w:ascii="Times New Roman" w:hAnsi="Times New Roman" w:eastAsia="文星仿宋"/>
                <w:b w:val="0"/>
                <w:bCs/>
                <w:sz w:val="24"/>
                <w:szCs w:val="24"/>
              </w:rPr>
            </w:pPr>
            <w:r>
              <w:rPr>
                <w:rFonts w:ascii="Times New Roman" w:hAnsi="Times New Roman" w:eastAsia="文星仿宋"/>
                <w:b w:val="0"/>
                <w:bCs/>
                <w:sz w:val="24"/>
                <w:szCs w:val="24"/>
              </w:rPr>
              <w:t>（三）乡镇政府（街道办事处）</w:t>
            </w:r>
          </w:p>
        </w:tc>
        <w:tc>
          <w:tcPr>
            <w:tcW w:w="508" w:type="pct"/>
            <w:tcBorders>
              <w:top w:val="single" w:color="000000" w:sz="4" w:space="0"/>
              <w:left w:val="single" w:color="000000" w:sz="6" w:space="0"/>
              <w:bottom w:val="nil"/>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次</w:t>
            </w:r>
          </w:p>
        </w:tc>
        <w:tc>
          <w:tcPr>
            <w:tcW w:w="571" w:type="pct"/>
            <w:tcBorders>
              <w:top w:val="single" w:color="000000" w:sz="4" w:space="0"/>
              <w:left w:val="single" w:color="000000" w:sz="6" w:space="0"/>
              <w:bottom w:val="nil"/>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49" w:hRule="atLeas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hint="eastAsia" w:eastAsia="文星楷体"/>
                <w:b/>
                <w:sz w:val="32"/>
                <w:szCs w:val="32"/>
                <w:lang w:val="en-US" w:eastAsia="zh-CN"/>
              </w:rPr>
              <w:t>五</w:t>
            </w:r>
            <w:r>
              <w:rPr>
                <w:rFonts w:ascii="Times New Roman" w:hAnsi="Times New Roman" w:eastAsia="文星楷体"/>
                <w:b/>
                <w:sz w:val="32"/>
                <w:szCs w:val="32"/>
              </w:rPr>
              <w:t>、机构建设和保障经费情况</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mc:AlternateContent>
              <mc:Choice Requires="wpsCustomData">
                <wpsCustomData:diagonals>
                  <wpsCustomData:diagonal from="20000" to="0">
                    <wpsCustomData:border w:val="single" w:color="000000" w:sz="6"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ascii="Times New Roman" w:hAnsi="Times New Roman" w:eastAsia="文星仿宋"/>
                <w:b/>
                <w:sz w:val="28"/>
                <w:szCs w:val="28"/>
              </w:rPr>
            </w:pPr>
          </w:p>
          <w:p>
            <w:pPr>
              <w:spacing w:line="400" w:lineRule="exact"/>
              <w:jc w:val="center"/>
              <w:rPr>
                <w:rFonts w:ascii="Times New Roman" w:hAnsi="Times New Roman" w:eastAsia="文星仿宋"/>
                <w:b/>
                <w:sz w:val="28"/>
                <w:szCs w:val="28"/>
              </w:rPr>
            </w:pP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（一）政府信息公开工作专门机构数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个</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1</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（二）从事政府信息公开工作人员数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人</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2</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1.专职人员数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人</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lang w:val="en-US" w:eastAsia="zh-CN"/>
              </w:rPr>
            </w:pPr>
            <w:r>
              <w:rPr>
                <w:rFonts w:hint="eastAsia" w:eastAsia="文星仿宋"/>
                <w:b w:val="0"/>
                <w:bCs/>
                <w:sz w:val="24"/>
                <w:szCs w:val="24"/>
                <w:lang w:val="en-US" w:eastAsia="zh-CN"/>
              </w:rPr>
              <w:t>0</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2.兼职人员数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人</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lang w:eastAsia="zh-CN"/>
              </w:rPr>
            </w:pPr>
            <w:r>
              <w:rPr>
                <w:rFonts w:hint="eastAsia" w:eastAsia="文星仿宋"/>
                <w:b w:val="0"/>
                <w:bCs/>
                <w:sz w:val="24"/>
                <w:szCs w:val="24"/>
                <w:lang w:val="en-US" w:eastAsia="zh-CN"/>
              </w:rPr>
              <w:t>2</w:t>
            </w:r>
          </w:p>
        </w:tc>
      </w:tr>
      <w:tr>
        <w:tblPrEx>
          <w:tblCellMar>
            <w:top w:w="0" w:type="dxa"/>
            <w:left w:w="10" w:type="dxa"/>
            <w:bottom w:w="0" w:type="dxa"/>
            <w:right w:w="10" w:type="dxa"/>
          </w:tblCellMar>
        </w:tblPrEx>
        <w:trPr>
          <w:trHeight w:val="555" w:hRule="atLeast"/>
          <w:jc w:val="center"/>
        </w:trPr>
        <w:tc>
          <w:tcPr>
            <w:tcW w:w="3919" w:type="pct"/>
            <w:tcBorders>
              <w:top w:val="single" w:color="000000" w:sz="6"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（三）政府信息公开专项经费</w:t>
            </w:r>
          </w:p>
        </w:tc>
        <w:tc>
          <w:tcPr>
            <w:tcW w:w="508" w:type="pct"/>
            <w:tcBorders>
              <w:top w:val="single" w:color="000000" w:sz="6" w:space="0"/>
              <w:left w:val="single" w:color="000000" w:sz="6" w:space="0"/>
              <w:bottom w:val="single" w:color="000000" w:sz="4"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万元</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0</w:t>
            </w:r>
          </w:p>
        </w:tc>
      </w:tr>
      <w:tr>
        <w:tblPrEx>
          <w:tblCellMar>
            <w:top w:w="0" w:type="dxa"/>
            <w:left w:w="10" w:type="dxa"/>
            <w:bottom w:w="0" w:type="dxa"/>
            <w:right w:w="10" w:type="dxa"/>
          </w:tblCellMar>
        </w:tblPrEx>
        <w:trPr>
          <w:trHeight w:val="476" w:hRule="atLeas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sz w:val="28"/>
                <w:szCs w:val="28"/>
              </w:rPr>
            </w:pPr>
            <w:r>
              <w:rPr>
                <w:rFonts w:hint="eastAsia" w:eastAsia="文星楷体"/>
                <w:b/>
                <w:sz w:val="32"/>
                <w:szCs w:val="32"/>
                <w:lang w:val="en-US" w:eastAsia="zh-CN"/>
              </w:rPr>
              <w:t>六</w:t>
            </w:r>
            <w:r>
              <w:rPr>
                <w:rFonts w:ascii="Times New Roman" w:hAnsi="Times New Roman" w:eastAsia="文星楷体"/>
                <w:b/>
                <w:sz w:val="32"/>
                <w:szCs w:val="32"/>
              </w:rPr>
              <w:t>、政府信息公开会议和培训情况</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mc:AlternateContent>
              <mc:Choice Requires="wpsCustomData">
                <wpsCustomData:diagonals>
                  <wpsCustomData:diagonal from="20000" to="0">
                    <wpsCustomData:border w:val="single" w:color="000000" w:sz="6"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ascii="Times New Roman" w:hAnsi="Times New Roman" w:eastAsia="文星仿宋"/>
                <w:b/>
                <w:sz w:val="28"/>
                <w:szCs w:val="28"/>
              </w:rPr>
            </w:pPr>
          </w:p>
          <w:p>
            <w:pPr>
              <w:spacing w:line="400" w:lineRule="exact"/>
              <w:jc w:val="center"/>
              <w:rPr>
                <w:rFonts w:ascii="Times New Roman" w:hAnsi="Times New Roman" w:eastAsia="文星仿宋"/>
                <w:b/>
                <w:sz w:val="28"/>
                <w:szCs w:val="28"/>
              </w:rPr>
            </w:pP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sz w:val="28"/>
                <w:szCs w:val="28"/>
              </w:rPr>
            </w:pP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（一）召开政府信息公开工作会议或专题会议数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1</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（二）举办各类培训班数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hint="eastAsia" w:ascii="Times New Roman" w:hAnsi="Times New Roman" w:eastAsia="文星仿宋"/>
                <w:b w:val="0"/>
                <w:bCs/>
                <w:sz w:val="24"/>
                <w:szCs w:val="24"/>
              </w:rPr>
            </w:pPr>
            <w:r>
              <w:rPr>
                <w:rFonts w:hint="eastAsia" w:ascii="Times New Roman" w:hAnsi="Times New Roman" w:eastAsia="文星仿宋"/>
                <w:b w:val="0"/>
                <w:bCs/>
                <w:sz w:val="24"/>
                <w:szCs w:val="24"/>
              </w:rPr>
              <w:t>1</w:t>
            </w:r>
          </w:p>
        </w:tc>
      </w:tr>
      <w:tr>
        <w:tblPrEx>
          <w:tblCellMar>
            <w:top w:w="0" w:type="dxa"/>
            <w:left w:w="10" w:type="dxa"/>
            <w:bottom w:w="0" w:type="dxa"/>
            <w:right w:w="10" w:type="dxa"/>
          </w:tblCellMar>
        </w:tblPrEx>
        <w:trPr>
          <w:trHeight w:val="400" w:hRule="exact"/>
          <w:jc w:val="center"/>
        </w:trPr>
        <w:tc>
          <w:tcPr>
            <w:tcW w:w="3919"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rPr>
                <w:rFonts w:ascii="Times New Roman" w:hAnsi="Times New Roman" w:eastAsia="文星仿宋"/>
                <w:b w:val="0"/>
                <w:bCs/>
                <w:sz w:val="24"/>
                <w:szCs w:val="24"/>
              </w:rPr>
            </w:pPr>
            <w:r>
              <w:rPr>
                <w:rFonts w:ascii="Times New Roman" w:hAnsi="Times New Roman" w:eastAsia="文星仿宋"/>
                <w:b w:val="0"/>
                <w:bCs/>
                <w:sz w:val="24"/>
                <w:szCs w:val="24"/>
              </w:rPr>
              <w:t>　　（三）接受培训人员数</w:t>
            </w:r>
          </w:p>
        </w:tc>
        <w:tc>
          <w:tcPr>
            <w:tcW w:w="508"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ascii="Times New Roman" w:hAnsi="Times New Roman" w:eastAsia="文星仿宋"/>
                <w:b w:val="0"/>
                <w:bCs/>
                <w:sz w:val="24"/>
                <w:szCs w:val="24"/>
              </w:rPr>
              <w:t>人次</w:t>
            </w:r>
          </w:p>
        </w:tc>
        <w:tc>
          <w:tcPr>
            <w:tcW w:w="571" w:type="pc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400" w:lineRule="exact"/>
              <w:jc w:val="center"/>
              <w:rPr>
                <w:rFonts w:ascii="Times New Roman" w:hAnsi="Times New Roman" w:eastAsia="文星仿宋"/>
                <w:b w:val="0"/>
                <w:bCs/>
                <w:sz w:val="24"/>
                <w:szCs w:val="24"/>
              </w:rPr>
            </w:pPr>
            <w:r>
              <w:rPr>
                <w:rFonts w:hint="eastAsia" w:ascii="Times New Roman" w:hAnsi="Times New Roman" w:eastAsia="文星仿宋"/>
                <w:b w:val="0"/>
                <w:bCs/>
                <w:sz w:val="24"/>
                <w:szCs w:val="24"/>
              </w:rPr>
              <w:t>2</w:t>
            </w:r>
          </w:p>
        </w:tc>
      </w:tr>
    </w:tbl>
    <w:p>
      <w:pPr>
        <w:spacing w:line="400" w:lineRule="exact"/>
        <w:rPr>
          <w:rFonts w:ascii="Times New Roman" w:hAnsi="Times New Roman" w:eastAsia="文星仿宋"/>
          <w:b/>
          <w:sz w:val="28"/>
          <w:szCs w:val="28"/>
        </w:rPr>
      </w:pPr>
      <w:r>
        <w:rPr>
          <w:rFonts w:ascii="Times New Roman" w:hAnsi="Times New Roman" w:eastAsia="文星仿宋"/>
          <w:b/>
          <w:sz w:val="28"/>
          <w:szCs w:val="28"/>
        </w:rPr>
        <w:t>（注：各子栏目数总数要等于总栏目数量）</w:t>
      </w:r>
    </w:p>
    <w:p>
      <w:pPr>
        <w:pStyle w:val="2"/>
        <w:keepNext w:val="0"/>
        <w:keepLines w:val="0"/>
        <w:widowControl/>
        <w:numPr>
          <w:ilvl w:val="0"/>
          <w:numId w:val="0"/>
        </w:numPr>
        <w:suppressLineNumbers w:val="0"/>
        <w:ind w:left="640" w:leftChars="0" w:right="0" w:rightChars="0" w:firstLine="310" w:firstLineChars="100"/>
        <w:rPr>
          <w:rFonts w:hint="eastAsia" w:ascii="仿宋" w:hAnsi="仿宋" w:eastAsia="仿宋" w:cs="仿宋"/>
          <w:b w:val="0"/>
          <w:bCs w:val="0"/>
          <w:color w:val="000000"/>
          <w:sz w:val="31"/>
          <w:szCs w:val="31"/>
          <w:lang w:val="en-US" w:eastAsia="zh-CN"/>
        </w:rPr>
      </w:pPr>
    </w:p>
    <w:p>
      <w:pPr>
        <w:pStyle w:val="2"/>
        <w:keepNext w:val="0"/>
        <w:keepLines w:val="0"/>
        <w:widowControl/>
        <w:numPr>
          <w:ilvl w:val="0"/>
          <w:numId w:val="0"/>
        </w:numPr>
        <w:suppressLineNumbers w:val="0"/>
        <w:ind w:right="0" w:rightChars="0"/>
        <w:rPr>
          <w:rFonts w:hint="eastAsia" w:ascii="仿宋" w:hAnsi="仿宋" w:eastAsia="仿宋" w:cs="仿宋"/>
          <w:b w:val="0"/>
          <w:bCs w:val="0"/>
          <w:color w:val="000000"/>
          <w:sz w:val="31"/>
          <w:szCs w:val="31"/>
          <w:lang w:val="en-US" w:eastAsia="zh-CN"/>
        </w:rPr>
      </w:pPr>
    </w:p>
    <w:p/>
    <w:sectPr>
      <w:pgSz w:w="11906" w:h="16838"/>
      <w:pgMar w:top="1327" w:right="1236" w:bottom="1327"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黑体简体">
    <w:altName w:val="Arial Unicode MS"/>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文星标宋">
    <w:altName w:val="Arial Unicode MS"/>
    <w:panose1 w:val="00000000000000000000"/>
    <w:charset w:val="86"/>
    <w:family w:val="auto"/>
    <w:pitch w:val="default"/>
    <w:sig w:usb0="00000000" w:usb1="00000000" w:usb2="00000000" w:usb3="00000000" w:csb0="00040000" w:csb1="00000000"/>
  </w:font>
  <w:font w:name="文星黑体">
    <w:altName w:val="Arial Unicode MS"/>
    <w:panose1 w:val="00000000000000000000"/>
    <w:charset w:val="86"/>
    <w:family w:val="auto"/>
    <w:pitch w:val="default"/>
    <w:sig w:usb0="00000000" w:usb1="00000000" w:usb2="00000000" w:usb3="00000000" w:csb0="00040000" w:csb1="00000000"/>
  </w:font>
  <w:font w:name="文星仿宋">
    <w:altName w:val="Arial Unicode MS"/>
    <w:panose1 w:val="00000000000000000000"/>
    <w:charset w:val="86"/>
    <w:family w:val="auto"/>
    <w:pitch w:val="default"/>
    <w:sig w:usb0="00000000" w:usb1="00000000" w:usb2="0000000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文星楷体">
    <w:altName w:val="宋体"/>
    <w:panose1 w:val="02010600030101010101"/>
    <w:charset w:val="86"/>
    <w:family w:val="auto"/>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NzMxNjMxNzhlM2NiYmQyZDcyYTM5Yzk2ZTFiZDIifQ=="/>
  </w:docVars>
  <w:rsids>
    <w:rsidRoot w:val="481901A3"/>
    <w:rsid w:val="28B135BA"/>
    <w:rsid w:val="33033C82"/>
    <w:rsid w:val="34CE54F3"/>
    <w:rsid w:val="3D98323F"/>
    <w:rsid w:val="3FFF7504"/>
    <w:rsid w:val="442B2015"/>
    <w:rsid w:val="481901A3"/>
    <w:rsid w:val="48DA5DBD"/>
    <w:rsid w:val="4C3D71E5"/>
    <w:rsid w:val="677F7E04"/>
    <w:rsid w:val="678E2ABA"/>
    <w:rsid w:val="6F4162E7"/>
    <w:rsid w:val="6FBA444B"/>
    <w:rsid w:val="6FFE51C0"/>
    <w:rsid w:val="72086C95"/>
    <w:rsid w:val="78D31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ind w:left="0" w:right="0"/>
      <w:jc w:val="both"/>
    </w:pPr>
    <w:rPr>
      <w:rFonts w:ascii="Times New Roman" w:hAnsi="Times New Roman" w:eastAsia="宋体" w:cs="Times New Roman"/>
      <w:kern w:val="1"/>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9075"/>
          <c:y val="0.0376923076923077"/>
        </c:manualLayout>
      </c:layout>
      <c:overlay val="0"/>
      <c:spPr>
        <a:noFill/>
        <a:ln>
          <a:noFill/>
        </a:ln>
        <a:effectLst/>
      </c:spPr>
      <c:txPr>
        <a:bodyPr rot="0" spcFirstLastPara="0" vertOverflow="ellipsis" vert="horz" wrap="square" anchor="ctr" anchorCtr="1"/>
        <a:lstStyle/>
        <a:p>
          <a:pPr>
            <a:defRPr lang="zh-CN" sz="1400" b="1" i="0" u="none" strike="noStrike" kern="1200" spc="0" baseline="0">
              <a:solidFill>
                <a:srgbClr val="FF0000"/>
              </a:solidFill>
              <a:latin typeface="微软雅黑" panose="020B0503020204020204" pitchFamily="34" charset="-122"/>
              <a:ea typeface="微软雅黑" panose="020B0503020204020204" pitchFamily="34" charset="-122"/>
              <a:cs typeface="+mn-cs"/>
            </a:defRPr>
          </a:pPr>
        </a:p>
      </c:txPr>
    </c:title>
    <c:autoTitleDeleted val="0"/>
    <c:plotArea>
      <c:layout>
        <c:manualLayout>
          <c:layoutTarget val="inner"/>
          <c:xMode val="edge"/>
          <c:yMode val="edge"/>
          <c:x val="0.308977682747561"/>
          <c:y val="0.185325602140946"/>
          <c:w val="0.387144193505279"/>
          <c:h val="0.64607493309545"/>
        </c:manualLayout>
      </c:layout>
      <c:pieChart>
        <c:varyColors val="1"/>
        <c:ser>
          <c:idx val="0"/>
          <c:order val="0"/>
          <c:tx>
            <c:strRef>
              <c:f>Sheet1!$B$1</c:f>
              <c:strCache>
                <c:ptCount val="1"/>
                <c:pt idx="0">
                  <c:v>2022年公开政务信息数量</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spPr>
              <a:gradFill>
                <a:gsLst>
                  <a:gs pos="50000">
                    <a:srgbClr val="E27576"/>
                  </a:gs>
                  <a:gs pos="0">
                    <a:srgbClr val="ECA3A4"/>
                  </a:gs>
                  <a:gs pos="100000">
                    <a:srgbClr val="D84748"/>
                  </a:gs>
                </a:gsLst>
                <a:lin scaled="1"/>
              </a:gradFill>
              <a:ln w="19050">
                <a:solidFill>
                  <a:schemeClr val="bg1"/>
                </a:solidFill>
                <a:miter lim="800000"/>
              </a:ln>
              <a:effectLst>
                <a:outerShdw blurRad="63500" sx="102000" sy="102000" algn="ctr" rotWithShape="0">
                  <a:srgbClr val="384C7C">
                    <a:alpha val="18000"/>
                  </a:srgbClr>
                </a:outerShdw>
              </a:effectLst>
            </c:spPr>
          </c:dPt>
          <c:dPt>
            <c:idx val="1"/>
            <c:bubble3D val="0"/>
            <c:spPr>
              <a:solidFill>
                <a:srgbClr val="80E214"/>
              </a:solidFill>
              <a:ln w="22225">
                <a:solidFill>
                  <a:schemeClr val="bg1"/>
                </a:solidFill>
              </a:ln>
              <a:effectLst>
                <a:outerShdw blurRad="63500" sx="102000" sy="102000" algn="ctr" rotWithShape="0">
                  <a:srgbClr val="384C7C">
                    <a:alpha val="18000"/>
                  </a:srgbClr>
                </a:outerShdw>
              </a:effectLst>
            </c:spPr>
          </c:dPt>
          <c:dPt>
            <c:idx val="2"/>
            <c:bubble3D val="0"/>
            <c:spPr>
              <a:solidFill>
                <a:srgbClr val="00B0F0"/>
              </a:solidFill>
              <a:ln w="19050">
                <a:solidFill>
                  <a:schemeClr val="bg1"/>
                </a:solidFill>
              </a:ln>
              <a:effectLst>
                <a:outerShdw blurRad="63500" sx="102000" sy="102000" algn="ctr" rotWithShape="0">
                  <a:srgbClr val="384C7C">
                    <a:alpha val="18000"/>
                  </a:srgbClr>
                </a:outerShdw>
              </a:effectLst>
            </c:spPr>
          </c:dPt>
          <c:dPt>
            <c:idx val="3"/>
            <c:bubble3D val="0"/>
            <c:spPr>
              <a:solidFill>
                <a:srgbClr val="EBC279"/>
              </a:solidFill>
              <a:ln w="19050">
                <a:solidFill>
                  <a:schemeClr val="bg1"/>
                </a:solidFill>
              </a:ln>
              <a:effectLst>
                <a:outerShdw blurRad="63500" sx="102000" sy="102000" algn="ctr" rotWithShape="0">
                  <a:srgbClr val="384C7C">
                    <a:alpha val="18000"/>
                  </a:srgbClr>
                </a:outerShdw>
              </a:effectLst>
            </c:spPr>
          </c:dPt>
          <c:dPt>
            <c:idx val="4"/>
            <c:bubble3D val="0"/>
            <c:spPr>
              <a:solidFill>
                <a:srgbClr val="FFFF00"/>
              </a:solidFill>
              <a:ln w="19050">
                <a:solidFill>
                  <a:schemeClr val="bg1"/>
                </a:solidFill>
              </a:ln>
              <a:effectLst>
                <a:outerShdw blurRad="63500" sx="102000" sy="102000" algn="ctr" rotWithShape="0">
                  <a:srgbClr val="384C7C">
                    <a:alpha val="18000"/>
                  </a:srgbClr>
                </a:outerShdw>
              </a:effectLst>
            </c:spPr>
          </c:dPt>
          <c:dLbls>
            <c:dLbl>
              <c:idx val="0"/>
              <c:layout>
                <c:manualLayout>
                  <c:x val="-0.0786607243392422"/>
                  <c:y val="0.151728404256973"/>
                </c:manualLayout>
              </c:layout>
              <c:tx>
                <c:rich>
                  <a:bodyPr rot="0" spcFirstLastPara="0" vertOverflow="ellipsis" vert="horz" wrap="square" lIns="38100" tIns="19050" rIns="38100" bIns="19050" anchor="ctr" anchorCtr="1" forceAA="0">
                    <a:spAutoFit/>
                  </a:bodyPr>
                  <a:lstStyle/>
                  <a:p>
                    <a:pPr defTabSz="914400">
                      <a:defRPr lang="zh-CN" sz="1600" b="0" i="0" u="none" strike="noStrike" kern="1200" baseline="0">
                        <a:gradFill>
                          <a:gsLst>
                            <a:gs pos="0">
                              <a:srgbClr val="7B32B2"/>
                            </a:gs>
                            <a:gs pos="100000">
                              <a:srgbClr val="401A5D"/>
                            </a:gs>
                          </a:gsLst>
                          <a:lin scaled="0"/>
                        </a:gradFill>
                        <a:latin typeface="微软雅黑" panose="020B0503020204020204" pitchFamily="34" charset="-122"/>
                        <a:ea typeface="微软雅黑" panose="020B0503020204020204" pitchFamily="34" charset="-122"/>
                        <a:cs typeface="+mn-cs"/>
                      </a:defRPr>
                    </a:pPr>
                    <a:r>
                      <a:rPr sz="1600">
                        <a:gradFill>
                          <a:gsLst>
                            <a:gs pos="0">
                              <a:srgbClr val="7B32B2"/>
                            </a:gs>
                            <a:gs pos="100000">
                              <a:srgbClr val="401A5D"/>
                            </a:gs>
                          </a:gsLst>
                          <a:lin scaled="0"/>
                        </a:gradFill>
                      </a:rPr>
                      <a:t>40条</a:t>
                    </a:r>
                    <a:endParaRPr sz="1600">
                      <a:gradFill>
                        <a:gsLst>
                          <a:gs pos="0">
                            <a:srgbClr val="7B32B2"/>
                          </a:gs>
                          <a:gs pos="100000">
                            <a:srgbClr val="401A5D"/>
                          </a:gs>
                        </a:gsLst>
                        <a:lin scaled="0"/>
                      </a:gradFill>
                    </a:endParaRPr>
                  </a:p>
                  <a:p>
                    <a:pPr defTabSz="914400">
                      <a:defRPr lang="zh-CN" sz="1600" b="0" i="0" u="none" strike="noStrike" kern="1200" baseline="0">
                        <a:gradFill>
                          <a:gsLst>
                            <a:gs pos="0">
                              <a:srgbClr val="7B32B2"/>
                            </a:gs>
                            <a:gs pos="100000">
                              <a:srgbClr val="401A5D"/>
                            </a:gs>
                          </a:gsLst>
                          <a:lin scaled="0"/>
                        </a:gradFill>
                        <a:latin typeface="微软雅黑" panose="020B0503020204020204" pitchFamily="34" charset="-122"/>
                        <a:ea typeface="微软雅黑" panose="020B0503020204020204" pitchFamily="34" charset="-122"/>
                        <a:cs typeface="+mn-cs"/>
                      </a:defRPr>
                    </a:pPr>
                    <a:r>
                      <a:rPr lang="en-US" altLang="zh-CN" sz="1600">
                        <a:gradFill>
                          <a:gsLst>
                            <a:gs pos="0">
                              <a:srgbClr val="7B32B2"/>
                            </a:gs>
                            <a:gs pos="100000">
                              <a:srgbClr val="401A5D"/>
                            </a:gs>
                          </a:gsLst>
                          <a:lin scaled="0"/>
                        </a:gradFill>
                      </a:rPr>
                      <a:t>25%</a:t>
                    </a:r>
                    <a:endParaRPr lang="en-US" altLang="zh-CN" sz="1600">
                      <a:gradFill>
                        <a:gsLst>
                          <a:gs pos="0">
                            <a:srgbClr val="7B32B2"/>
                          </a:gs>
                          <a:gs pos="100000">
                            <a:srgbClr val="401A5D"/>
                          </a:gs>
                        </a:gsLst>
                        <a:lin scaled="0"/>
                      </a:gra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727751148351638"/>
                  <c:y val="-0.14154407255011"/>
                </c:manualLayout>
              </c:layout>
              <c:tx>
                <c:rich>
                  <a:bodyPr rot="0" spcFirstLastPara="0" vertOverflow="ellipsis" vert="horz" wrap="square" lIns="38100" tIns="19050" rIns="38100" bIns="19050" anchor="ctr" anchorCtr="1" forceAA="0">
                    <a:spAutoFit/>
                  </a:bodyPr>
                  <a:lstStyle/>
                  <a:p>
                    <a:pPr defTabSz="914400">
                      <a:defRPr lang="zh-CN" sz="1600" b="0" i="0" u="none" strike="noStrike" kern="1200" baseline="0">
                        <a:gradFill>
                          <a:gsLst>
                            <a:gs pos="0">
                              <a:srgbClr val="7B32B2"/>
                            </a:gs>
                            <a:gs pos="100000">
                              <a:srgbClr val="401A5D"/>
                            </a:gs>
                          </a:gsLst>
                          <a:lin scaled="0"/>
                        </a:gradFill>
                        <a:latin typeface="微软雅黑" panose="020B0503020204020204" pitchFamily="34" charset="-122"/>
                        <a:ea typeface="微软雅黑" panose="020B0503020204020204" pitchFamily="34" charset="-122"/>
                        <a:cs typeface="+mn-cs"/>
                      </a:defRPr>
                    </a:pPr>
                    <a:r>
                      <a:rPr sz="1600">
                        <a:gradFill>
                          <a:gsLst>
                            <a:gs pos="0">
                              <a:srgbClr val="7B32B2"/>
                            </a:gs>
                            <a:gs pos="100000">
                              <a:srgbClr val="401A5D"/>
                            </a:gs>
                          </a:gsLst>
                          <a:lin scaled="0"/>
                        </a:gradFill>
                      </a:rPr>
                      <a:t>38</a:t>
                    </a:r>
                    <a:r>
                      <a:rPr sz="1600">
                        <a:gradFill>
                          <a:gsLst>
                            <a:gs pos="0">
                              <a:srgbClr val="7B32B2"/>
                            </a:gs>
                            <a:gs pos="100000">
                              <a:srgbClr val="401A5D"/>
                            </a:gs>
                          </a:gsLst>
                          <a:lin scaled="0"/>
                        </a:gradFill>
                      </a:rPr>
                      <a:t>条</a:t>
                    </a:r>
                    <a:endParaRPr sz="1600">
                      <a:gradFill>
                        <a:gsLst>
                          <a:gs pos="0">
                            <a:srgbClr val="7B32B2"/>
                          </a:gs>
                          <a:gs pos="100000">
                            <a:srgbClr val="401A5D"/>
                          </a:gs>
                        </a:gsLst>
                        <a:lin scaled="0"/>
                      </a:gradFill>
                    </a:endParaRPr>
                  </a:p>
                  <a:p>
                    <a:pPr defTabSz="914400">
                      <a:defRPr lang="zh-CN" sz="1600" b="0" i="0" u="none" strike="noStrike" kern="1200" baseline="0">
                        <a:gradFill>
                          <a:gsLst>
                            <a:gs pos="0">
                              <a:srgbClr val="7B32B2"/>
                            </a:gs>
                            <a:gs pos="100000">
                              <a:srgbClr val="401A5D"/>
                            </a:gs>
                          </a:gsLst>
                          <a:lin scaled="0"/>
                        </a:gradFill>
                        <a:latin typeface="微软雅黑" panose="020B0503020204020204" pitchFamily="34" charset="-122"/>
                        <a:ea typeface="微软雅黑" panose="020B0503020204020204" pitchFamily="34" charset="-122"/>
                        <a:cs typeface="+mn-cs"/>
                      </a:defRPr>
                    </a:pPr>
                    <a:r>
                      <a:rPr lang="en-US" altLang="zh-CN" sz="1600">
                        <a:gradFill>
                          <a:gsLst>
                            <a:gs pos="0">
                              <a:srgbClr val="7B32B2"/>
                            </a:gs>
                            <a:gs pos="100000">
                              <a:srgbClr val="401A5D"/>
                            </a:gs>
                          </a:gsLst>
                          <a:lin scaled="0"/>
                        </a:gradFill>
                      </a:rPr>
                      <a:t>23%</a:t>
                    </a:r>
                    <a:endParaRPr lang="en-US" altLang="zh-CN" sz="1600">
                      <a:gradFill>
                        <a:gsLst>
                          <a:gs pos="0">
                            <a:srgbClr val="7B32B2"/>
                          </a:gs>
                          <a:gs pos="100000">
                            <a:srgbClr val="401A5D"/>
                          </a:gs>
                        </a:gsLst>
                        <a:lin scaled="0"/>
                      </a:gra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00722365643346"/>
                  <c:y val="-0.177950598376567"/>
                </c:manualLayout>
              </c:layout>
              <c:tx>
                <c:rich>
                  <a:bodyPr rot="0" spcFirstLastPara="0" vertOverflow="ellipsis" vert="horz" wrap="square" lIns="38100" tIns="19050" rIns="38100" bIns="19050" anchor="ctr" anchorCtr="1" forceAA="0">
                    <a:spAutoFit/>
                  </a:bodyPr>
                  <a:lstStyle/>
                  <a:p>
                    <a:pPr defTabSz="914400">
                      <a:defRPr lang="zh-CN" sz="1600" b="0" i="0" u="none" strike="noStrike" kern="1200" baseline="0">
                        <a:gradFill>
                          <a:gsLst>
                            <a:gs pos="0">
                              <a:srgbClr val="7B32B2"/>
                            </a:gs>
                            <a:gs pos="100000">
                              <a:srgbClr val="401A5D"/>
                            </a:gs>
                          </a:gsLst>
                          <a:lin scaled="0"/>
                        </a:gradFill>
                        <a:latin typeface="微软雅黑" panose="020B0503020204020204" pitchFamily="34" charset="-122"/>
                        <a:ea typeface="微软雅黑" panose="020B0503020204020204" pitchFamily="34" charset="-122"/>
                        <a:cs typeface="+mn-cs"/>
                      </a:defRPr>
                    </a:pPr>
                    <a:r>
                      <a:rPr sz="1600">
                        <a:gradFill>
                          <a:gsLst>
                            <a:gs pos="0">
                              <a:srgbClr val="7B32B2"/>
                            </a:gs>
                            <a:gs pos="100000">
                              <a:srgbClr val="401A5D"/>
                            </a:gs>
                          </a:gsLst>
                          <a:lin scaled="0"/>
                        </a:gradFill>
                      </a:rPr>
                      <a:t>39</a:t>
                    </a:r>
                    <a:r>
                      <a:rPr sz="1600">
                        <a:gradFill>
                          <a:gsLst>
                            <a:gs pos="0">
                              <a:srgbClr val="7B32B2"/>
                            </a:gs>
                            <a:gs pos="100000">
                              <a:srgbClr val="401A5D"/>
                            </a:gs>
                          </a:gsLst>
                          <a:lin scaled="0"/>
                        </a:gradFill>
                      </a:rPr>
                      <a:t>条</a:t>
                    </a:r>
                    <a:endParaRPr sz="1600">
                      <a:gradFill>
                        <a:gsLst>
                          <a:gs pos="0">
                            <a:srgbClr val="7B32B2"/>
                          </a:gs>
                          <a:gs pos="100000">
                            <a:srgbClr val="401A5D"/>
                          </a:gs>
                        </a:gsLst>
                        <a:lin scaled="0"/>
                      </a:gradFill>
                    </a:endParaRPr>
                  </a:p>
                  <a:p>
                    <a:pPr defTabSz="914400">
                      <a:defRPr lang="zh-CN" sz="1600" b="0" i="0" u="none" strike="noStrike" kern="1200" baseline="0">
                        <a:gradFill>
                          <a:gsLst>
                            <a:gs pos="0">
                              <a:srgbClr val="7B32B2"/>
                            </a:gs>
                            <a:gs pos="100000">
                              <a:srgbClr val="401A5D"/>
                            </a:gs>
                          </a:gsLst>
                          <a:lin scaled="0"/>
                        </a:gradFill>
                        <a:latin typeface="微软雅黑" panose="020B0503020204020204" pitchFamily="34" charset="-122"/>
                        <a:ea typeface="微软雅黑" panose="020B0503020204020204" pitchFamily="34" charset="-122"/>
                        <a:cs typeface="+mn-cs"/>
                      </a:defRPr>
                    </a:pPr>
                    <a:r>
                      <a:rPr lang="en-US" altLang="zh-CN" sz="1600">
                        <a:gradFill>
                          <a:gsLst>
                            <a:gs pos="0">
                              <a:srgbClr val="7B32B2"/>
                            </a:gs>
                            <a:gs pos="100000">
                              <a:srgbClr val="401A5D"/>
                            </a:gs>
                          </a:gsLst>
                          <a:lin scaled="0"/>
                        </a:gradFill>
                      </a:rPr>
                      <a:t>23%</a:t>
                    </a:r>
                    <a:endParaRPr lang="en-US" altLang="zh-CN" sz="1600">
                      <a:gradFill>
                        <a:gsLst>
                          <a:gs pos="0">
                            <a:srgbClr val="7B32B2"/>
                          </a:gs>
                          <a:gs pos="100000">
                            <a:srgbClr val="401A5D"/>
                          </a:gs>
                        </a:gsLst>
                        <a:lin scaled="0"/>
                      </a:gra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02426171917883"/>
                      <c:h val="0.218060543868651"/>
                    </c:manualLayout>
                  </c15:layout>
                </c:ext>
              </c:extLst>
            </c:dLbl>
            <c:dLbl>
              <c:idx val="3"/>
              <c:layout>
                <c:manualLayout>
                  <c:x val="0.0966387786143888"/>
                  <c:y val="0.00808279629089645"/>
                </c:manualLayout>
              </c:layout>
              <c:tx>
                <c:rich>
                  <a:bodyPr rot="0" spcFirstLastPara="0" vertOverflow="ellipsis" vert="horz" wrap="square" lIns="38100" tIns="19050" rIns="38100" bIns="19050" anchor="ctr" anchorCtr="1" forceAA="0">
                    <a:spAutoFit/>
                  </a:bodyPr>
                  <a:lstStyle/>
                  <a:p>
                    <a:pPr defTabSz="914400">
                      <a:defRPr lang="zh-CN" sz="1600" b="0" i="0" u="none" strike="noStrike" kern="1200" baseline="0">
                        <a:gradFill>
                          <a:gsLst>
                            <a:gs pos="0">
                              <a:srgbClr val="7B32B2"/>
                            </a:gs>
                            <a:gs pos="100000">
                              <a:srgbClr val="401A5D"/>
                            </a:gs>
                          </a:gsLst>
                          <a:lin scaled="0"/>
                        </a:gradFill>
                        <a:latin typeface="微软雅黑" panose="020B0503020204020204" pitchFamily="34" charset="-122"/>
                        <a:ea typeface="微软雅黑" panose="020B0503020204020204" pitchFamily="34" charset="-122"/>
                        <a:cs typeface="+mn-cs"/>
                      </a:defRPr>
                    </a:pPr>
                    <a:r>
                      <a:rPr sz="1600">
                        <a:gradFill>
                          <a:gsLst>
                            <a:gs pos="0">
                              <a:srgbClr val="7B32B2"/>
                            </a:gs>
                            <a:gs pos="100000">
                              <a:srgbClr val="401A5D"/>
                            </a:gs>
                          </a:gsLst>
                          <a:lin scaled="0"/>
                        </a:gradFill>
                      </a:rPr>
                      <a:t>10条</a:t>
                    </a:r>
                    <a:r>
                      <a:rPr lang="en-US" altLang="zh-CN" sz="1600">
                        <a:gradFill>
                          <a:gsLst>
                            <a:gs pos="0">
                              <a:srgbClr val="7B32B2"/>
                            </a:gs>
                            <a:gs pos="100000">
                              <a:srgbClr val="401A5D"/>
                            </a:gs>
                          </a:gsLst>
                          <a:lin scaled="0"/>
                        </a:gradFill>
                      </a:rPr>
                      <a:t> 6%</a:t>
                    </a:r>
                    <a:endParaRPr lang="en-US" altLang="zh-CN" sz="1600">
                      <a:gradFill>
                        <a:gsLst>
                          <a:gs pos="0">
                            <a:srgbClr val="7B32B2"/>
                          </a:gs>
                          <a:gs pos="100000">
                            <a:srgbClr val="401A5D"/>
                          </a:gs>
                        </a:gsLst>
                        <a:lin scaled="0"/>
                      </a:gra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93125"/>
                      <c:h val="0.0785"/>
                    </c:manualLayout>
                  </c15:layout>
                </c:ext>
              </c:extLst>
            </c:dLbl>
            <c:dLbl>
              <c:idx val="4"/>
              <c:layout>
                <c:manualLayout>
                  <c:x val="0.0754565539576243"/>
                  <c:y val="0.215221908671113"/>
                </c:manualLayout>
              </c:layout>
              <c:tx>
                <c:rich>
                  <a:bodyPr rot="0" spcFirstLastPara="0" vertOverflow="ellipsis" vert="horz" wrap="square" lIns="38100" tIns="19050" rIns="38100" bIns="19050" anchor="ctr" anchorCtr="1"/>
                  <a:lstStyle/>
                  <a:p>
                    <a:pPr defTabSz="914400">
                      <a:defRPr lang="zh-CN" sz="1600" b="0" i="0" u="none" strike="noStrike" kern="1200" baseline="0">
                        <a:gradFill>
                          <a:gsLst>
                            <a:gs pos="0">
                              <a:srgbClr val="7B32B2"/>
                            </a:gs>
                            <a:gs pos="100000">
                              <a:srgbClr val="401A5D"/>
                            </a:gs>
                          </a:gsLst>
                          <a:lin scaled="0"/>
                        </a:gradFill>
                        <a:latin typeface="微软雅黑" panose="020B0503020204020204" pitchFamily="34" charset="-122"/>
                        <a:ea typeface="微软雅黑" panose="020B0503020204020204" pitchFamily="34" charset="-122"/>
                        <a:cs typeface="+mn-cs"/>
                      </a:defRPr>
                    </a:pPr>
                    <a:r>
                      <a:rPr sz="1600">
                        <a:gradFill>
                          <a:gsLst>
                            <a:gs pos="0">
                              <a:srgbClr val="7B32B2"/>
                            </a:gs>
                            <a:gs pos="100000">
                              <a:srgbClr val="401A5D"/>
                            </a:gs>
                          </a:gsLst>
                          <a:lin scaled="0"/>
                        </a:gradFill>
                      </a:rPr>
                      <a:t>39条</a:t>
                    </a:r>
                    <a:r>
                      <a:rPr lang="en-US" altLang="zh-CN" sz="1600">
                        <a:gradFill>
                          <a:gsLst>
                            <a:gs pos="0">
                              <a:srgbClr val="7B32B2"/>
                            </a:gs>
                            <a:gs pos="100000">
                              <a:srgbClr val="401A5D"/>
                            </a:gs>
                          </a:gsLst>
                          <a:lin scaled="0"/>
                        </a:gradFill>
                      </a:rPr>
                      <a:t> </a:t>
                    </a:r>
                    <a:endParaRPr sz="1600">
                      <a:gradFill>
                        <a:gsLst>
                          <a:gs pos="0">
                            <a:srgbClr val="7B32B2"/>
                          </a:gs>
                          <a:gs pos="100000">
                            <a:srgbClr val="401A5D"/>
                          </a:gs>
                        </a:gsLst>
                        <a:lin scaled="0"/>
                      </a:gradFill>
                    </a:endParaRPr>
                  </a:p>
                  <a:p>
                    <a:pPr defTabSz="914400">
                      <a:defRPr lang="zh-CN" sz="1600" b="0" i="0" u="none" strike="noStrike" kern="1200" baseline="0">
                        <a:gradFill>
                          <a:gsLst>
                            <a:gs pos="0">
                              <a:srgbClr val="7B32B2"/>
                            </a:gs>
                            <a:gs pos="100000">
                              <a:srgbClr val="401A5D"/>
                            </a:gs>
                          </a:gsLst>
                          <a:lin scaled="0"/>
                        </a:gradFill>
                        <a:latin typeface="微软雅黑" panose="020B0503020204020204" pitchFamily="34" charset="-122"/>
                        <a:ea typeface="微软雅黑" panose="020B0503020204020204" pitchFamily="34" charset="-122"/>
                        <a:cs typeface="+mn-cs"/>
                      </a:defRPr>
                    </a:pPr>
                    <a:r>
                      <a:rPr lang="en-US" altLang="zh-CN" sz="1600">
                        <a:gradFill>
                          <a:gsLst>
                            <a:gs pos="0">
                              <a:srgbClr val="7B32B2"/>
                            </a:gs>
                            <a:gs pos="100000">
                              <a:srgbClr val="401A5D"/>
                            </a:gs>
                          </a:gsLst>
                          <a:lin scaled="0"/>
                        </a:gradFill>
                      </a:rPr>
                      <a:t>23%</a:t>
                    </a:r>
                    <a:endParaRPr lang="en-US" altLang="zh-CN" sz="1600">
                      <a:gradFill>
                        <a:gsLst>
                          <a:gs pos="0">
                            <a:srgbClr val="7B32B2"/>
                          </a:gs>
                          <a:gs pos="100000">
                            <a:srgbClr val="401A5D"/>
                          </a:gs>
                        </a:gsLst>
                        <a:lin scaled="0"/>
                      </a:gra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27346580305193"/>
                      <c:h val="0.223447922011288"/>
                    </c:manualLayout>
                  </c15:layout>
                </c:ext>
              </c:extLst>
            </c:dLbl>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1600" b="0" i="0" u="none" strike="noStrike" kern="1200" baseline="0">
                    <a:gradFill>
                      <a:gsLst>
                        <a:gs pos="0">
                          <a:srgbClr val="7B32B2"/>
                        </a:gs>
                        <a:gs pos="100000">
                          <a:srgbClr val="401A5D"/>
                        </a:gs>
                      </a:gsLst>
                      <a:lin scaled="0"/>
                    </a:gradFill>
                    <a:latin typeface="微软雅黑" panose="020B0503020204020204" pitchFamily="34" charset="-122"/>
                    <a:ea typeface="微软雅黑" panose="020B0503020204020204" pitchFamily="34" charset="-122"/>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提案建议信息</c:v>
                </c:pt>
                <c:pt idx="1">
                  <c:v>通知公告信息</c:v>
                </c:pt>
                <c:pt idx="2">
                  <c:v>不动产声明信息</c:v>
                </c:pt>
                <c:pt idx="3">
                  <c:v>互动平台信息</c:v>
                </c:pt>
                <c:pt idx="4">
                  <c:v>其他</c:v>
                </c:pt>
              </c:strCache>
            </c:strRef>
          </c:cat>
          <c:val>
            <c:numRef>
              <c:f>Sheet1!$B$2:$B$6</c:f>
              <c:numCache>
                <c:formatCode>General</c:formatCode>
                <c:ptCount val="5"/>
                <c:pt idx="0">
                  <c:v>40</c:v>
                </c:pt>
                <c:pt idx="1">
                  <c:v>38</c:v>
                </c:pt>
                <c:pt idx="2">
                  <c:v>39</c:v>
                </c:pt>
                <c:pt idx="3">
                  <c:v>10</c:v>
                </c:pt>
                <c:pt idx="4">
                  <c:v>39</c:v>
                </c:pt>
              </c:numCache>
            </c:numRef>
          </c:val>
        </c:ser>
        <c:dLbls>
          <c:showLegendKey val="0"/>
          <c:showVal val="1"/>
          <c:showCatName val="0"/>
          <c:showSerName val="0"/>
          <c:showPercent val="0"/>
          <c:showBubbleSize val="0"/>
          <c:showLeaderLines val="1"/>
        </c:dLbls>
        <c:firstSliceAng val="8"/>
      </c:pieChart>
      <c:spPr>
        <a:noFill/>
        <a:ln>
          <a:noFill/>
        </a:ln>
        <a:effectLst/>
      </c:spPr>
    </c:plotArea>
    <c:legend>
      <c:legendPos val="r"/>
      <c:legendEntry>
        <c:idx val="0"/>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p>
        </c:txPr>
      </c:legendEntry>
      <c:legendEntry>
        <c:idx val="1"/>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p>
        </c:txPr>
      </c:legendEntry>
      <c:legendEntry>
        <c:idx val="2"/>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p>
        </c:txPr>
      </c:legendEntry>
      <c:legendEntry>
        <c:idx val="3"/>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p>
        </c:txPr>
      </c:legendEntry>
      <c:legendEntry>
        <c:idx val="4"/>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p>
        </c:txPr>
      </c:legendEntry>
      <c:layout>
        <c:manualLayout>
          <c:xMode val="edge"/>
          <c:yMode val="edge"/>
          <c:x val="0.70975"/>
          <c:y val="0.2325"/>
          <c:w val="0.27275"/>
          <c:h val="0.58"/>
        </c:manualLayout>
      </c:layout>
      <c:overlay val="0"/>
      <c:spPr>
        <a:noFill/>
        <a:ln>
          <a:noFill/>
        </a:ln>
        <a:effectLst/>
      </c:spPr>
      <c:txPr>
        <a:bodyPr rot="0" spcFirstLastPara="0" vertOverflow="ellipsis" vert="horz" wrap="square" anchor="ctr" anchorCtr="1" forceAA="0"/>
        <a:lstStyle/>
        <a:p>
          <a:pPr>
            <a:defRPr lang="zh-CN" sz="14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7</Pages>
  <Words>2851</Words>
  <Characters>2980</Characters>
  <Lines>0</Lines>
  <Paragraphs>0</Paragraphs>
  <TotalTime>64</TotalTime>
  <ScaleCrop>false</ScaleCrop>
  <LinksUpToDate>false</LinksUpToDate>
  <CharactersWithSpaces>3143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2023-01-18T06:54:00Z</dcterms:created>
  <dc:creator>鷹☯Ж☸龘</dc:creator>
  <cp:lastModifiedBy>鷹☯Ж☸龘</cp:lastModifiedBy>
  <cp:lastPrinted>2023-01-19T09:14:00Z</cp:lastPrinted>
  <dcterms:modified xsi:type="dcterms:W3CDTF">2023-02-10T06:03:02Z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F8BCBAF5E7D54EAA961F2BF2287C5BE1</vt:lpwstr>
  </property>
</Properties>
</file>