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微山县退役军人事务局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本报告由微山县</w:t>
      </w:r>
      <w:r>
        <w:rPr>
          <w:rFonts w:hint="default" w:ascii="Times New Roman" w:hAnsi="Times New Roman" w:eastAsia="方正仿宋简体" w:cs="Times New Roman"/>
          <w:b/>
          <w:bCs/>
          <w:i w:val="0"/>
          <w:caps w:val="0"/>
          <w:color w:val="333333"/>
          <w:spacing w:val="0"/>
          <w:sz w:val="32"/>
          <w:szCs w:val="32"/>
          <w:lang w:val="en-US" w:eastAsia="zh-CN"/>
        </w:rPr>
        <w:t>退役军人事务局</w:t>
      </w:r>
      <w:r>
        <w:rPr>
          <w:rFonts w:hint="default" w:ascii="Times New Roman" w:hAnsi="Times New Roman" w:eastAsia="方正仿宋简体" w:cs="Times New Roman"/>
          <w:b/>
          <w:bCs/>
          <w:i w:val="0"/>
          <w:caps w:val="0"/>
          <w:color w:val="333333"/>
          <w:spacing w:val="0"/>
          <w:sz w:val="32"/>
          <w:szCs w:val="32"/>
        </w:rPr>
        <w:t>按照《中华人民共和国政府信息公开条例》（以下简称《条例》）和《中华人民共和国政府信息公开工作年度报告格式》（国办公开办函〔2021〕30号）要求编制。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本报告所列数据的统计期限自2023年1月1日起至2023年12月31日止。本报告电子版可在微山县人民政府门户网站（http://www.weishan.gov.cn/）查阅或下载</w:t>
      </w:r>
      <w:r>
        <w:rPr>
          <w:rFonts w:hint="default" w:ascii="Times New Roman" w:hAnsi="Times New Roman" w:eastAsia="方正仿宋简体" w:cs="Times New Roman"/>
          <w:b/>
          <w:bCs/>
          <w:i w:val="0"/>
          <w:caps w:val="0"/>
          <w:color w:val="333333"/>
          <w:spacing w:val="0"/>
          <w:sz w:val="32"/>
          <w:szCs w:val="32"/>
          <w:lang w:eastAsia="zh-CN"/>
        </w:rPr>
        <w:t>。</w:t>
      </w:r>
      <w:r>
        <w:rPr>
          <w:rFonts w:hint="default" w:ascii="Times New Roman" w:hAnsi="Times New Roman" w:eastAsia="方正仿宋简体" w:cs="Times New Roman"/>
          <w:b/>
          <w:bCs/>
          <w:i w:val="0"/>
          <w:caps w:val="0"/>
          <w:color w:val="333333"/>
          <w:spacing w:val="0"/>
          <w:sz w:val="32"/>
          <w:szCs w:val="32"/>
        </w:rPr>
        <w:t>如对本报告有疑问，请与微山县</w:t>
      </w:r>
      <w:r>
        <w:rPr>
          <w:rFonts w:hint="default" w:ascii="Times New Roman" w:hAnsi="Times New Roman" w:eastAsia="方正仿宋简体" w:cs="Times New Roman"/>
          <w:b/>
          <w:bCs/>
          <w:i w:val="0"/>
          <w:caps w:val="0"/>
          <w:color w:val="333333"/>
          <w:spacing w:val="0"/>
          <w:sz w:val="32"/>
          <w:szCs w:val="32"/>
          <w:lang w:val="en-US" w:eastAsia="zh-CN"/>
        </w:rPr>
        <w:t>退役军人事务局</w:t>
      </w:r>
      <w:r>
        <w:rPr>
          <w:rFonts w:hint="default" w:ascii="Times New Roman" w:hAnsi="Times New Roman" w:eastAsia="方正仿宋简体" w:cs="Times New Roman"/>
          <w:b/>
          <w:bCs/>
          <w:i w:val="0"/>
          <w:caps w:val="0"/>
          <w:color w:val="333333"/>
          <w:spacing w:val="0"/>
          <w:sz w:val="32"/>
          <w:szCs w:val="32"/>
        </w:rPr>
        <w:t>联系（地址：微山县</w:t>
      </w:r>
      <w:r>
        <w:rPr>
          <w:rFonts w:hint="default" w:ascii="Times New Roman" w:hAnsi="Times New Roman" w:eastAsia="方正仿宋简体" w:cs="Times New Roman"/>
          <w:b/>
          <w:bCs/>
          <w:i w:val="0"/>
          <w:caps w:val="0"/>
          <w:color w:val="333333"/>
          <w:spacing w:val="0"/>
          <w:sz w:val="32"/>
          <w:szCs w:val="32"/>
          <w:lang w:val="en-US" w:eastAsia="zh-CN"/>
        </w:rPr>
        <w:t>金源东路12号</w:t>
      </w:r>
      <w:r>
        <w:rPr>
          <w:rFonts w:hint="default" w:ascii="Times New Roman" w:hAnsi="Times New Roman" w:eastAsia="方正仿宋简体" w:cs="Times New Roman"/>
          <w:b/>
          <w:bCs/>
          <w:i w:val="0"/>
          <w:caps w:val="0"/>
          <w:color w:val="333333"/>
          <w:spacing w:val="0"/>
          <w:sz w:val="32"/>
          <w:szCs w:val="32"/>
        </w:rPr>
        <w:t>，联系电话：0537-8</w:t>
      </w:r>
      <w:r>
        <w:rPr>
          <w:rFonts w:hint="default" w:ascii="Times New Roman" w:hAnsi="Times New Roman" w:eastAsia="方正仿宋简体" w:cs="Times New Roman"/>
          <w:b/>
          <w:bCs/>
          <w:i w:val="0"/>
          <w:caps w:val="0"/>
          <w:color w:val="333333"/>
          <w:spacing w:val="0"/>
          <w:sz w:val="32"/>
          <w:szCs w:val="32"/>
          <w:lang w:val="en-US" w:eastAsia="zh-CN"/>
        </w:rPr>
        <w:t>550599</w:t>
      </w:r>
      <w:r>
        <w:rPr>
          <w:rFonts w:hint="default" w:ascii="Times New Roman" w:hAnsi="Times New Roman" w:eastAsia="方正仿宋简体" w:cs="Times New Roman"/>
          <w:b/>
          <w:bCs/>
          <w:i w:val="0"/>
          <w:caps w:val="0"/>
          <w:color w:val="333333"/>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600" w:lineRule="exact"/>
        <w:ind w:left="0" w:right="0" w:firstLine="643" w:firstLineChars="200"/>
        <w:jc w:val="left"/>
        <w:textAlignment w:val="auto"/>
        <w:rPr>
          <w:rFonts w:hint="default" w:ascii="Times New Roman" w:hAnsi="Times New Roman" w:eastAsia="方正黑体简体" w:cs="Times New Roman"/>
          <w:b/>
          <w:bCs/>
          <w:i w:val="0"/>
          <w:caps w:val="0"/>
          <w:color w:val="333333"/>
          <w:spacing w:val="0"/>
          <w:sz w:val="32"/>
          <w:szCs w:val="32"/>
        </w:rPr>
      </w:pPr>
      <w:r>
        <w:rPr>
          <w:rFonts w:hint="default" w:ascii="Times New Roman" w:hAnsi="Times New Roman" w:eastAsia="方正黑体简体" w:cs="Times New Roman"/>
          <w:b/>
          <w:bCs/>
          <w:i w:val="0"/>
          <w:caps w:val="0"/>
          <w:color w:val="333333"/>
          <w:spacing w:val="0"/>
          <w:sz w:val="32"/>
          <w:szCs w:val="32"/>
        </w:rPr>
        <w:t>一、总体情况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600" w:lineRule="exact"/>
        <w:ind w:left="0" w:right="0" w:firstLine="643" w:firstLineChars="200"/>
        <w:jc w:val="left"/>
        <w:textAlignment w:val="auto"/>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2023年，为深入贯彻落实习近平新时代中国特色社会主义思想和党的二十大精神，认真贯彻落实国家、省、市、县关于政务公开工作的系列部署要求，我局积极践行“服务军人 一心向党”的品牌理念，坚持以退役军人为中心，聚焦退役军人关心关切的问题，不断拓展信息公开的广度和深度，以政务公开工作推进我县退役军人工作高质量发展。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600" w:lineRule="exact"/>
        <w:ind w:left="0" w:right="0" w:firstLine="643" w:firstLineChars="200"/>
        <w:jc w:val="left"/>
        <w:textAlignment w:val="auto"/>
        <w:rPr>
          <w:rFonts w:hint="default" w:ascii="Times New Roman" w:hAnsi="Times New Roman" w:eastAsia="方正楷体简体" w:cs="Times New Roman"/>
          <w:b/>
          <w:bCs/>
          <w:i w:val="0"/>
          <w:caps w:val="0"/>
          <w:color w:val="333333"/>
          <w:spacing w:val="0"/>
          <w:sz w:val="32"/>
          <w:szCs w:val="32"/>
        </w:rPr>
      </w:pPr>
      <w:r>
        <w:rPr>
          <w:rFonts w:hint="default" w:ascii="Times New Roman" w:hAnsi="Times New Roman" w:eastAsia="方正楷体简体" w:cs="Times New Roman"/>
          <w:b/>
          <w:bCs/>
          <w:i w:val="0"/>
          <w:caps w:val="0"/>
          <w:color w:val="333333"/>
          <w:spacing w:val="0"/>
          <w:sz w:val="32"/>
          <w:szCs w:val="32"/>
        </w:rPr>
        <w:t>(一) 主动公开情况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600" w:lineRule="exact"/>
        <w:ind w:left="0" w:right="0" w:firstLine="643" w:firstLineChars="200"/>
        <w:jc w:val="left"/>
        <w:textAlignment w:val="auto"/>
        <w:rPr>
          <w:rFonts w:hint="default" w:ascii="Times New Roman" w:hAnsi="Times New Roman" w:eastAsia="方正仿宋简体" w:cs="Times New Roman"/>
          <w:b/>
          <w:bCs/>
          <w:i w:val="0"/>
          <w:caps w:val="0"/>
          <w:color w:val="0000FF"/>
          <w:spacing w:val="0"/>
          <w:sz w:val="32"/>
          <w:szCs w:val="32"/>
        </w:rPr>
      </w:pPr>
      <w:r>
        <w:rPr>
          <w:rFonts w:hint="default" w:ascii="Times New Roman" w:hAnsi="Times New Roman" w:eastAsia="方正仿宋简体" w:cs="Times New Roman"/>
          <w:b/>
          <w:bCs/>
          <w:i w:val="0"/>
          <w:caps w:val="0"/>
          <w:color w:val="333333"/>
          <w:spacing w:val="0"/>
          <w:sz w:val="32"/>
          <w:szCs w:val="32"/>
        </w:rPr>
        <w:t>202</w:t>
      </w:r>
      <w:r>
        <w:rPr>
          <w:rFonts w:hint="default" w:ascii="Times New Roman" w:hAnsi="Times New Roman" w:eastAsia="方正仿宋简体" w:cs="Times New Roman"/>
          <w:b/>
          <w:bCs/>
          <w:i w:val="0"/>
          <w:caps w:val="0"/>
          <w:color w:val="333333"/>
          <w:spacing w:val="0"/>
          <w:sz w:val="32"/>
          <w:szCs w:val="32"/>
          <w:lang w:val="en-US" w:eastAsia="zh-CN"/>
        </w:rPr>
        <w:t>3</w:t>
      </w:r>
      <w:r>
        <w:rPr>
          <w:rFonts w:hint="default" w:ascii="Times New Roman" w:hAnsi="Times New Roman" w:eastAsia="方正仿宋简体" w:cs="Times New Roman"/>
          <w:b/>
          <w:bCs/>
          <w:i w:val="0"/>
          <w:caps w:val="0"/>
          <w:color w:val="333333"/>
          <w:spacing w:val="0"/>
          <w:sz w:val="32"/>
          <w:szCs w:val="32"/>
        </w:rPr>
        <w:t>年</w:t>
      </w:r>
      <w:r>
        <w:rPr>
          <w:rFonts w:hint="eastAsia" w:ascii="Times New Roman" w:hAnsi="Times New Roman" w:eastAsia="方正仿宋简体" w:cs="Times New Roman"/>
          <w:b/>
          <w:bCs/>
          <w:i w:val="0"/>
          <w:caps w:val="0"/>
          <w:color w:val="333333"/>
          <w:spacing w:val="0"/>
          <w:sz w:val="32"/>
          <w:szCs w:val="32"/>
          <w:lang w:eastAsia="zh-CN"/>
        </w:rPr>
        <w:t>，</w:t>
      </w:r>
      <w:r>
        <w:rPr>
          <w:rFonts w:hint="default" w:ascii="Times New Roman" w:hAnsi="Times New Roman" w:eastAsia="方正仿宋简体" w:cs="Times New Roman"/>
          <w:b/>
          <w:bCs/>
          <w:i w:val="0"/>
          <w:caps w:val="0"/>
          <w:color w:val="333333"/>
          <w:spacing w:val="0"/>
          <w:sz w:val="32"/>
          <w:szCs w:val="32"/>
        </w:rPr>
        <w:t>县退役军人事</w:t>
      </w:r>
      <w:r>
        <w:rPr>
          <w:rFonts w:hint="default" w:ascii="Times New Roman" w:hAnsi="Times New Roman" w:eastAsia="方正仿宋简体" w:cs="Times New Roman"/>
          <w:b/>
          <w:bCs/>
          <w:i w:val="0"/>
          <w:caps w:val="0"/>
          <w:color w:val="auto"/>
          <w:spacing w:val="0"/>
          <w:sz w:val="32"/>
          <w:szCs w:val="32"/>
        </w:rPr>
        <w:t>务局</w:t>
      </w:r>
      <w:r>
        <w:rPr>
          <w:rFonts w:hint="eastAsia" w:ascii="Times New Roman" w:hAnsi="Times New Roman" w:eastAsia="方正仿宋简体" w:cs="Times New Roman"/>
          <w:b/>
          <w:bCs/>
          <w:i w:val="0"/>
          <w:caps w:val="0"/>
          <w:color w:val="auto"/>
          <w:spacing w:val="0"/>
          <w:sz w:val="32"/>
          <w:szCs w:val="32"/>
          <w:lang w:val="en-US" w:eastAsia="zh-CN"/>
        </w:rPr>
        <w:t>通过县退役军人事务局网站、县退役军人事务局微信公众号（现已注销）主动公开政务信息数量为390条，其中</w:t>
      </w:r>
      <w:r>
        <w:rPr>
          <w:rFonts w:hint="default" w:ascii="Times New Roman" w:hAnsi="Times New Roman" w:eastAsia="方正仿宋简体" w:cs="Times New Roman"/>
          <w:b/>
          <w:bCs/>
          <w:i w:val="0"/>
          <w:caps w:val="0"/>
          <w:color w:val="auto"/>
          <w:spacing w:val="0"/>
          <w:sz w:val="32"/>
          <w:szCs w:val="32"/>
        </w:rPr>
        <w:t>政务信息公开数量</w:t>
      </w:r>
      <w:r>
        <w:rPr>
          <w:rFonts w:hint="default" w:ascii="Times New Roman" w:hAnsi="Times New Roman" w:eastAsia="方正仿宋简体" w:cs="Times New Roman"/>
          <w:b/>
          <w:bCs/>
          <w:i w:val="0"/>
          <w:caps w:val="0"/>
          <w:color w:val="auto"/>
          <w:spacing w:val="0"/>
          <w:sz w:val="32"/>
          <w:szCs w:val="32"/>
          <w:lang w:val="en-US" w:eastAsia="zh-CN"/>
        </w:rPr>
        <w:t>86</w:t>
      </w:r>
      <w:r>
        <w:rPr>
          <w:rFonts w:hint="default" w:ascii="Times New Roman" w:hAnsi="Times New Roman" w:eastAsia="方正仿宋简体" w:cs="Times New Roman"/>
          <w:b/>
          <w:bCs/>
          <w:i w:val="0"/>
          <w:caps w:val="0"/>
          <w:color w:val="auto"/>
          <w:spacing w:val="0"/>
          <w:sz w:val="32"/>
          <w:szCs w:val="32"/>
        </w:rPr>
        <w:t>条</w:t>
      </w:r>
      <w:r>
        <w:rPr>
          <w:rFonts w:hint="eastAsia" w:ascii="Times New Roman" w:hAnsi="Times New Roman" w:eastAsia="方正仿宋简体" w:cs="Times New Roman"/>
          <w:b/>
          <w:bCs/>
          <w:i w:val="0"/>
          <w:caps w:val="0"/>
          <w:color w:val="auto"/>
          <w:spacing w:val="0"/>
          <w:sz w:val="32"/>
          <w:szCs w:val="32"/>
          <w:lang w:eastAsia="zh-CN"/>
        </w:rPr>
        <w:t>（</w:t>
      </w:r>
      <w:r>
        <w:rPr>
          <w:rFonts w:hint="eastAsia" w:ascii="Times New Roman" w:hAnsi="Times New Roman" w:eastAsia="方正仿宋简体" w:cs="Times New Roman"/>
          <w:b/>
          <w:bCs/>
          <w:i w:val="0"/>
          <w:caps w:val="0"/>
          <w:color w:val="auto"/>
          <w:spacing w:val="0"/>
          <w:sz w:val="32"/>
          <w:szCs w:val="32"/>
          <w:lang w:val="en-US" w:eastAsia="zh-CN"/>
        </w:rPr>
        <w:t>主动公开政府信息19条</w:t>
      </w:r>
      <w:r>
        <w:rPr>
          <w:rFonts w:hint="eastAsia" w:ascii="Times New Roman" w:hAnsi="Times New Roman" w:eastAsia="方正仿宋简体" w:cs="Times New Roman"/>
          <w:b/>
          <w:bCs/>
          <w:i w:val="0"/>
          <w:caps w:val="0"/>
          <w:color w:val="auto"/>
          <w:spacing w:val="0"/>
          <w:sz w:val="32"/>
          <w:szCs w:val="32"/>
          <w:lang w:eastAsia="zh-CN"/>
        </w:rPr>
        <w:t>）、</w:t>
      </w:r>
      <w:r>
        <w:rPr>
          <w:rFonts w:hint="eastAsia" w:ascii="Times New Roman" w:hAnsi="Times New Roman" w:eastAsia="方正仿宋简体" w:cs="Times New Roman"/>
          <w:b/>
          <w:bCs/>
          <w:i w:val="0"/>
          <w:caps w:val="0"/>
          <w:color w:val="auto"/>
          <w:spacing w:val="0"/>
          <w:sz w:val="32"/>
          <w:szCs w:val="32"/>
          <w:lang w:val="en-US" w:eastAsia="zh-CN"/>
        </w:rPr>
        <w:t>官方公众号发布和推送信息304条，</w:t>
      </w:r>
      <w:r>
        <w:rPr>
          <w:rFonts w:hint="default" w:ascii="Times New Roman" w:hAnsi="Times New Roman" w:eastAsia="方正仿宋简体" w:cs="Times New Roman"/>
          <w:b/>
          <w:bCs/>
          <w:i w:val="0"/>
          <w:caps w:val="0"/>
          <w:color w:val="auto"/>
          <w:spacing w:val="0"/>
          <w:sz w:val="32"/>
          <w:szCs w:val="32"/>
        </w:rPr>
        <w:t>信息公开内容</w:t>
      </w:r>
      <w:r>
        <w:rPr>
          <w:rFonts w:hint="eastAsia" w:ascii="Times New Roman" w:hAnsi="Times New Roman" w:eastAsia="方正仿宋简体" w:cs="Times New Roman"/>
          <w:b/>
          <w:bCs/>
          <w:i w:val="0"/>
          <w:caps w:val="0"/>
          <w:color w:val="auto"/>
          <w:spacing w:val="0"/>
          <w:sz w:val="32"/>
          <w:szCs w:val="32"/>
          <w:lang w:val="en-US" w:eastAsia="zh-CN"/>
        </w:rPr>
        <w:t>涵盖</w:t>
      </w:r>
      <w:r>
        <w:rPr>
          <w:rFonts w:hint="default" w:ascii="Times New Roman" w:hAnsi="Times New Roman" w:eastAsia="方正仿宋简体" w:cs="Times New Roman"/>
          <w:b/>
          <w:bCs/>
          <w:i w:val="0"/>
          <w:caps w:val="0"/>
          <w:color w:val="auto"/>
          <w:spacing w:val="0"/>
          <w:sz w:val="32"/>
          <w:szCs w:val="32"/>
        </w:rPr>
        <w:t>主动公开、依申请公开、政府信息管理、平台建设、监督保障等方面。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Times New Roman" w:hAnsi="Times New Roman" w:cs="Times New Roma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Times New Roman" w:hAnsi="Times New Roman" w:eastAsia="微软雅黑" w:cs="Times New Roman"/>
          <w:i w:val="0"/>
          <w:caps w:val="0"/>
          <w:color w:val="333333"/>
          <w:spacing w:val="0"/>
          <w:sz w:val="24"/>
          <w:szCs w:val="24"/>
        </w:rPr>
      </w:pPr>
      <w:r>
        <w:rPr>
          <w:rFonts w:hint="default" w:ascii="Times New Roman" w:hAnsi="Times New Roman" w:cs="Times New Roman"/>
        </w:rPr>
        <w:drawing>
          <wp:inline distT="0" distB="0" distL="114300" distR="114300">
            <wp:extent cx="4381500" cy="2619375"/>
            <wp:effectExtent l="0" t="0" r="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rcRect t="2482"/>
                    <a:stretch>
                      <a:fillRect/>
                    </a:stretch>
                  </pic:blipFill>
                  <pic:spPr>
                    <a:xfrm>
                      <a:off x="0" y="0"/>
                      <a:ext cx="4381500" cy="2619375"/>
                    </a:xfrm>
                    <a:prstGeom prst="rect">
                      <a:avLst/>
                    </a:prstGeom>
                    <a:noFill/>
                    <a:ln>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600" w:lineRule="exact"/>
        <w:ind w:left="0" w:right="0" w:firstLine="643" w:firstLineChars="200"/>
        <w:jc w:val="left"/>
        <w:textAlignment w:val="auto"/>
        <w:rPr>
          <w:rFonts w:hint="default" w:ascii="Times New Roman" w:hAnsi="Times New Roman" w:eastAsia="方正楷体简体" w:cs="Times New Roman"/>
          <w:b/>
          <w:bCs/>
          <w:i w:val="0"/>
          <w:caps w:val="0"/>
          <w:color w:val="333333"/>
          <w:spacing w:val="0"/>
          <w:sz w:val="32"/>
          <w:szCs w:val="32"/>
        </w:rPr>
      </w:pPr>
      <w:r>
        <w:rPr>
          <w:rFonts w:hint="default" w:ascii="Times New Roman" w:hAnsi="Times New Roman" w:eastAsia="方正楷体简体" w:cs="Times New Roman"/>
          <w:b/>
          <w:bCs/>
          <w:i w:val="0"/>
          <w:caps w:val="0"/>
          <w:color w:val="333333"/>
          <w:spacing w:val="0"/>
          <w:sz w:val="32"/>
          <w:szCs w:val="32"/>
        </w:rPr>
        <w:t>(二) 依申请公开情况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Times New Roman" w:hAnsi="Times New Roman" w:eastAsia="方正仿宋简体" w:cs="Times New Roman"/>
          <w:b/>
          <w:bCs/>
          <w:i w:val="0"/>
          <w:caps w:val="0"/>
          <w:color w:val="333333"/>
          <w:spacing w:val="0"/>
          <w:sz w:val="32"/>
          <w:szCs w:val="32"/>
        </w:rPr>
      </w:pPr>
      <w:r>
        <w:rPr>
          <w:rFonts w:hint="eastAsia" w:ascii="Times New Roman" w:hAnsi="Times New Roman" w:eastAsia="方正仿宋简体" w:cs="Times New Roman"/>
          <w:b/>
          <w:bCs/>
          <w:i w:val="0"/>
          <w:caps w:val="0"/>
          <w:color w:val="333333"/>
          <w:spacing w:val="0"/>
          <w:sz w:val="32"/>
          <w:szCs w:val="32"/>
          <w:lang w:val="en-US" w:eastAsia="zh-CN"/>
        </w:rPr>
        <w:t>2023年，</w:t>
      </w:r>
      <w:r>
        <w:rPr>
          <w:rFonts w:hint="default" w:ascii="Times New Roman" w:hAnsi="Times New Roman" w:eastAsia="方正仿宋简体" w:cs="Times New Roman"/>
          <w:b/>
          <w:bCs/>
          <w:i w:val="0"/>
          <w:caps w:val="0"/>
          <w:color w:val="333333"/>
          <w:spacing w:val="0"/>
          <w:sz w:val="32"/>
          <w:szCs w:val="32"/>
        </w:rPr>
        <w:t>县退役军人事务局收到政府信息公开申请0条。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600" w:lineRule="exact"/>
        <w:ind w:left="0" w:right="0" w:firstLine="643" w:firstLineChars="200"/>
        <w:jc w:val="left"/>
        <w:textAlignment w:val="auto"/>
        <w:rPr>
          <w:rFonts w:hint="default" w:ascii="Times New Roman" w:hAnsi="Times New Roman" w:eastAsia="方正楷体简体" w:cs="Times New Roman"/>
          <w:b/>
          <w:bCs/>
          <w:i w:val="0"/>
          <w:caps w:val="0"/>
          <w:color w:val="333333"/>
          <w:spacing w:val="0"/>
          <w:sz w:val="32"/>
          <w:szCs w:val="32"/>
        </w:rPr>
      </w:pPr>
      <w:r>
        <w:rPr>
          <w:rFonts w:hint="default" w:ascii="Times New Roman" w:hAnsi="Times New Roman" w:eastAsia="方正楷体简体" w:cs="Times New Roman"/>
          <w:b/>
          <w:bCs/>
          <w:i w:val="0"/>
          <w:caps w:val="0"/>
          <w:color w:val="333333"/>
          <w:spacing w:val="0"/>
          <w:sz w:val="32"/>
          <w:szCs w:val="32"/>
        </w:rPr>
        <w:t>(三) 政府信息管理情况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Times New Roman" w:hAnsi="Times New Roman" w:eastAsia="方正仿宋简体" w:cs="Times New Roman"/>
          <w:b/>
          <w:bCs/>
          <w:i w:val="0"/>
          <w:caps w:val="0"/>
          <w:color w:val="333333"/>
          <w:spacing w:val="0"/>
          <w:sz w:val="32"/>
          <w:szCs w:val="32"/>
        </w:rPr>
      </w:pPr>
      <w:r>
        <w:rPr>
          <w:rFonts w:hint="eastAsia" w:ascii="Times New Roman" w:hAnsi="Times New Roman" w:eastAsia="方正仿宋简体" w:cs="Times New Roman"/>
          <w:b/>
          <w:bCs/>
          <w:i w:val="0"/>
          <w:caps w:val="0"/>
          <w:color w:val="333333"/>
          <w:spacing w:val="0"/>
          <w:sz w:val="32"/>
          <w:szCs w:val="32"/>
          <w:lang w:val="en-US" w:eastAsia="zh-CN"/>
        </w:rPr>
        <w:t>1、</w:t>
      </w:r>
      <w:r>
        <w:rPr>
          <w:rFonts w:hint="default" w:ascii="Times New Roman" w:hAnsi="Times New Roman" w:eastAsia="方正仿宋简体" w:cs="Times New Roman"/>
          <w:b/>
          <w:bCs/>
          <w:i w:val="0"/>
          <w:caps w:val="0"/>
          <w:color w:val="333333"/>
          <w:spacing w:val="0"/>
          <w:sz w:val="32"/>
          <w:szCs w:val="32"/>
        </w:rPr>
        <w:t>统筹</w:t>
      </w:r>
      <w:r>
        <w:rPr>
          <w:rFonts w:hint="eastAsia" w:ascii="Times New Roman" w:hAnsi="Times New Roman" w:eastAsia="方正仿宋简体" w:cs="Times New Roman"/>
          <w:b/>
          <w:bCs/>
          <w:i w:val="0"/>
          <w:caps w:val="0"/>
          <w:color w:val="333333"/>
          <w:spacing w:val="0"/>
          <w:sz w:val="32"/>
          <w:szCs w:val="32"/>
          <w:lang w:val="en-US" w:eastAsia="zh-CN"/>
        </w:rPr>
        <w:t>做好</w:t>
      </w:r>
      <w:r>
        <w:rPr>
          <w:rFonts w:hint="default" w:ascii="Times New Roman" w:hAnsi="Times New Roman" w:eastAsia="方正仿宋简体" w:cs="Times New Roman"/>
          <w:b/>
          <w:bCs/>
          <w:i w:val="0"/>
          <w:caps w:val="0"/>
          <w:color w:val="333333"/>
          <w:spacing w:val="0"/>
          <w:sz w:val="32"/>
          <w:szCs w:val="32"/>
        </w:rPr>
        <w:t>全局政务公开工作，细化工作机构职能和工作流程，形成主要领导亲自抓、分管领导具体抓、专门科室抓落实的工作体系，确保政务公开工作规范化、制度化。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Times New Roman" w:hAnsi="Times New Roman" w:eastAsia="方正仿宋简体" w:cs="Times New Roman"/>
          <w:b/>
          <w:bCs/>
          <w:i w:val="0"/>
          <w:caps w:val="0"/>
          <w:color w:val="333333"/>
          <w:spacing w:val="0"/>
          <w:sz w:val="32"/>
          <w:szCs w:val="32"/>
          <w:lang w:val="en-US" w:eastAsia="zh-CN"/>
        </w:rPr>
      </w:pPr>
      <w:r>
        <w:rPr>
          <w:rFonts w:hint="eastAsia" w:ascii="Times New Roman" w:hAnsi="Times New Roman" w:eastAsia="方正仿宋简体" w:cs="Times New Roman"/>
          <w:b/>
          <w:bCs/>
          <w:i w:val="0"/>
          <w:caps w:val="0"/>
          <w:color w:val="333333"/>
          <w:spacing w:val="0"/>
          <w:sz w:val="32"/>
          <w:szCs w:val="32"/>
          <w:lang w:val="en-US" w:eastAsia="zh-CN"/>
        </w:rPr>
        <w:t>2、健全政府信息发布审查机制，梳理信息公开目录和事项清单，确保信息依法、及时、全面、准确、合理，持续做好规范性文件、政策性文件解读工作。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default" w:ascii="Times New Roman" w:hAnsi="Times New Roman" w:eastAsia="方正仿宋简体" w:cs="Times New Roman"/>
          <w:b/>
          <w:bCs/>
          <w:i w:val="0"/>
          <w:caps w:val="0"/>
          <w:color w:val="333333"/>
          <w:spacing w:val="0"/>
          <w:sz w:val="32"/>
          <w:szCs w:val="32"/>
        </w:rPr>
      </w:pPr>
      <w:r>
        <w:rPr>
          <w:rFonts w:hint="eastAsia" w:ascii="Times New Roman" w:hAnsi="Times New Roman" w:eastAsia="方正仿宋简体" w:cs="Times New Roman"/>
          <w:b/>
          <w:bCs/>
          <w:i w:val="0"/>
          <w:caps w:val="0"/>
          <w:color w:val="333333"/>
          <w:spacing w:val="0"/>
          <w:sz w:val="32"/>
          <w:szCs w:val="32"/>
          <w:lang w:val="en-US" w:eastAsia="zh-CN"/>
        </w:rPr>
        <w:t>3、加强政府门户网站公开专栏维护，及时更新发布工作动态、政策解读等信息。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600" w:lineRule="exact"/>
        <w:ind w:left="0" w:right="0" w:firstLine="643" w:firstLineChars="200"/>
        <w:jc w:val="left"/>
        <w:textAlignment w:val="auto"/>
        <w:rPr>
          <w:rFonts w:hint="default" w:ascii="Times New Roman" w:hAnsi="Times New Roman" w:eastAsia="方正楷体简体" w:cs="Times New Roman"/>
          <w:b/>
          <w:bCs/>
          <w:i w:val="0"/>
          <w:caps w:val="0"/>
          <w:color w:val="333333"/>
          <w:spacing w:val="0"/>
          <w:sz w:val="32"/>
          <w:szCs w:val="32"/>
        </w:rPr>
      </w:pPr>
      <w:r>
        <w:rPr>
          <w:rFonts w:hint="default" w:ascii="Times New Roman" w:hAnsi="Times New Roman" w:eastAsia="方正楷体简体" w:cs="Times New Roman"/>
          <w:b/>
          <w:bCs/>
          <w:i w:val="0"/>
          <w:caps w:val="0"/>
          <w:color w:val="333333"/>
          <w:spacing w:val="0"/>
          <w:sz w:val="32"/>
          <w:szCs w:val="32"/>
        </w:rPr>
        <w:t>(四) 政府信息公开平台建设情况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Times New Roman" w:hAnsi="Times New Roman" w:eastAsia="方正仿宋简体" w:cs="Times New Roman"/>
          <w:b/>
          <w:bCs/>
          <w:i w:val="0"/>
          <w:caps w:val="0"/>
          <w:color w:val="333333"/>
          <w:spacing w:val="0"/>
          <w:sz w:val="32"/>
          <w:szCs w:val="32"/>
        </w:rPr>
      </w:pPr>
      <w:r>
        <w:rPr>
          <w:rFonts w:hint="eastAsia" w:ascii="Times New Roman" w:hAnsi="Times New Roman" w:eastAsia="方正仿宋简体" w:cs="Times New Roman"/>
          <w:b/>
          <w:bCs/>
          <w:i w:val="0"/>
          <w:caps w:val="0"/>
          <w:color w:val="333333"/>
          <w:spacing w:val="0"/>
          <w:sz w:val="32"/>
          <w:szCs w:val="32"/>
          <w:lang w:val="en-US" w:eastAsia="zh-CN"/>
        </w:rPr>
        <w:t>一是优化公众号界面，设立“微山最美退役军人”“戎光在身边”等专栏，提高退役军人的社会荣誉感。二是建立常态化数据动态更新机制，及时更新发布工作动态、政策解读、经验做法，让政策分类更加明晰、信息发布更加准确、经验做法更加延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600" w:lineRule="exact"/>
        <w:ind w:left="0" w:right="0" w:firstLine="643" w:firstLineChars="200"/>
        <w:jc w:val="left"/>
        <w:textAlignment w:val="auto"/>
        <w:rPr>
          <w:rFonts w:hint="default" w:ascii="Times New Roman" w:hAnsi="Times New Roman" w:eastAsia="方正楷体简体" w:cs="Times New Roman"/>
          <w:b/>
          <w:bCs/>
          <w:i w:val="0"/>
          <w:caps w:val="0"/>
          <w:color w:val="333333"/>
          <w:spacing w:val="0"/>
          <w:sz w:val="32"/>
          <w:szCs w:val="32"/>
        </w:rPr>
      </w:pPr>
      <w:r>
        <w:rPr>
          <w:rFonts w:hint="default" w:ascii="Times New Roman" w:hAnsi="Times New Roman" w:eastAsia="方正楷体简体" w:cs="Times New Roman"/>
          <w:b/>
          <w:bCs/>
          <w:i w:val="0"/>
          <w:caps w:val="0"/>
          <w:color w:val="333333"/>
          <w:spacing w:val="0"/>
          <w:sz w:val="32"/>
          <w:szCs w:val="32"/>
        </w:rPr>
        <w:t>(五) 监督保障情况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Times New Roman" w:hAnsi="Times New Roman" w:eastAsia="方正仿宋简体" w:cs="Times New Roman"/>
          <w:b/>
          <w:bCs/>
          <w:i w:val="0"/>
          <w:caps w:val="0"/>
          <w:color w:val="333333"/>
          <w:spacing w:val="0"/>
          <w:sz w:val="32"/>
          <w:szCs w:val="32"/>
          <w:lang w:eastAsia="zh-CN"/>
        </w:rPr>
      </w:pPr>
      <w:r>
        <w:rPr>
          <w:rFonts w:hint="eastAsia" w:ascii="Times New Roman" w:hAnsi="Times New Roman" w:eastAsia="方正仿宋简体" w:cs="Times New Roman"/>
          <w:b/>
          <w:bCs/>
          <w:i w:val="0"/>
          <w:caps w:val="0"/>
          <w:color w:val="333333"/>
          <w:spacing w:val="0"/>
          <w:sz w:val="32"/>
          <w:szCs w:val="32"/>
          <w:lang w:val="en-US" w:eastAsia="zh-CN"/>
        </w:rPr>
        <w:t>一是强化监督管理。根据领导分工调整和人员变动情况，调整县退役军人事务局政务公开领导小组，明确职责分工，责任到人。二是加强自查自纠。</w:t>
      </w:r>
      <w:r>
        <w:rPr>
          <w:rFonts w:hint="default" w:ascii="Times New Roman" w:hAnsi="Times New Roman" w:eastAsia="方正仿宋简体" w:cs="Times New Roman"/>
          <w:b/>
          <w:bCs/>
          <w:i w:val="0"/>
          <w:caps w:val="0"/>
          <w:color w:val="333333"/>
          <w:spacing w:val="0"/>
          <w:sz w:val="32"/>
          <w:szCs w:val="32"/>
        </w:rPr>
        <w:t>县退役军人事务局政府信息公开领导小组</w:t>
      </w:r>
      <w:r>
        <w:rPr>
          <w:rFonts w:hint="eastAsia" w:ascii="Times New Roman" w:hAnsi="Times New Roman" w:eastAsia="方正仿宋简体" w:cs="Times New Roman"/>
          <w:b/>
          <w:bCs/>
          <w:i w:val="0"/>
          <w:caps w:val="0"/>
          <w:color w:val="333333"/>
          <w:spacing w:val="0"/>
          <w:sz w:val="32"/>
          <w:szCs w:val="32"/>
          <w:lang w:val="en-US" w:eastAsia="zh-CN"/>
        </w:rPr>
        <w:t>定期</w:t>
      </w:r>
      <w:r>
        <w:rPr>
          <w:rFonts w:hint="default" w:ascii="Times New Roman" w:hAnsi="Times New Roman" w:eastAsia="方正仿宋简体" w:cs="Times New Roman"/>
          <w:b/>
          <w:bCs/>
          <w:i w:val="0"/>
          <w:caps w:val="0"/>
          <w:color w:val="333333"/>
          <w:spacing w:val="0"/>
          <w:sz w:val="32"/>
          <w:szCs w:val="32"/>
        </w:rPr>
        <w:t>对政府信息公开工作开展自查，检查政府信息公开程序是否规范，已公开的信息分类是否准确、信息发布是否及时</w:t>
      </w:r>
      <w:r>
        <w:rPr>
          <w:rFonts w:hint="eastAsia" w:ascii="Times New Roman" w:hAnsi="Times New Roman" w:eastAsia="方正仿宋简体" w:cs="Times New Roman"/>
          <w:b/>
          <w:bCs/>
          <w:i w:val="0"/>
          <w:caps w:val="0"/>
          <w:color w:val="333333"/>
          <w:spacing w:val="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Times New Roman" w:hAnsi="Times New Roman" w:eastAsia="方正仿宋简体" w:cs="Times New Roman"/>
          <w:b/>
          <w:bCs/>
          <w:i w:val="0"/>
          <w:caps w:val="0"/>
          <w:color w:val="333333"/>
          <w:spacing w:val="0"/>
          <w:sz w:val="32"/>
          <w:szCs w:val="32"/>
          <w:lang w:eastAsia="zh-CN"/>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600" w:lineRule="exact"/>
        <w:ind w:left="0" w:right="0" w:firstLine="643" w:firstLineChars="200"/>
        <w:jc w:val="left"/>
        <w:textAlignment w:val="auto"/>
        <w:rPr>
          <w:rFonts w:hint="default" w:ascii="Times New Roman" w:hAnsi="Times New Roman" w:eastAsia="方正黑体简体" w:cs="Times New Roman"/>
          <w:b/>
          <w:bCs/>
          <w:i w:val="0"/>
          <w:caps w:val="0"/>
          <w:color w:val="333333"/>
          <w:spacing w:val="0"/>
          <w:sz w:val="32"/>
          <w:szCs w:val="32"/>
        </w:rPr>
      </w:pPr>
      <w:r>
        <w:rPr>
          <w:rFonts w:hint="default" w:ascii="Times New Roman" w:hAnsi="Times New Roman" w:eastAsia="方正黑体简体" w:cs="Times New Roman"/>
          <w:b/>
          <w:bCs/>
          <w:i w:val="0"/>
          <w:caps w:val="0"/>
          <w:color w:val="333333"/>
          <w:spacing w:val="0"/>
          <w:sz w:val="32"/>
          <w:szCs w:val="32"/>
          <w:lang w:val="en-US" w:eastAsia="zh-CN"/>
        </w:rPr>
        <w:t>二、</w:t>
      </w:r>
      <w:r>
        <w:rPr>
          <w:rFonts w:hint="default" w:ascii="Times New Roman" w:hAnsi="Times New Roman" w:eastAsia="方正黑体简体" w:cs="Times New Roman"/>
          <w:b/>
          <w:bCs/>
          <w:i w:val="0"/>
          <w:caps w:val="0"/>
          <w:color w:val="333333"/>
          <w:spacing w:val="0"/>
          <w:sz w:val="32"/>
          <w:szCs w:val="32"/>
        </w:rPr>
        <w:t>主动公开政府信息情况</w:t>
      </w:r>
    </w:p>
    <w:tbl>
      <w:tblPr>
        <w:tblStyle w:val="5"/>
        <w:tblW w:w="8775" w:type="dxa"/>
        <w:tblCellSpacing w:w="0" w:type="dxa"/>
        <w:tblInd w:w="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430"/>
        <w:gridCol w:w="2130"/>
        <w:gridCol w:w="2220"/>
        <w:gridCol w:w="1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8775" w:type="dxa"/>
            <w:gridSpan w:val="4"/>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信息内容</w:t>
            </w:r>
          </w:p>
        </w:tc>
        <w:tc>
          <w:tcPr>
            <w:tcW w:w="2130" w:type="dxa"/>
            <w:tcBorders>
              <w:top w:val="single" w:color="auto" w:sz="6" w:space="0"/>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本年制发件数</w:t>
            </w:r>
          </w:p>
        </w:tc>
        <w:tc>
          <w:tcPr>
            <w:tcW w:w="2220" w:type="dxa"/>
            <w:tcBorders>
              <w:top w:val="single" w:color="auto" w:sz="6" w:space="0"/>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本年废止件数</w:t>
            </w:r>
          </w:p>
        </w:tc>
        <w:tc>
          <w:tcPr>
            <w:tcW w:w="1995" w:type="dxa"/>
            <w:tcBorders>
              <w:top w:val="single" w:color="auto" w:sz="6" w:space="0"/>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规章</w:t>
            </w:r>
          </w:p>
        </w:tc>
        <w:tc>
          <w:tcPr>
            <w:tcW w:w="213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222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19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行政规范性文件</w:t>
            </w:r>
          </w:p>
        </w:tc>
        <w:tc>
          <w:tcPr>
            <w:tcW w:w="213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222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19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8775" w:type="dxa"/>
            <w:gridSpan w:val="4"/>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信息内容</w:t>
            </w:r>
          </w:p>
        </w:tc>
        <w:tc>
          <w:tcPr>
            <w:tcW w:w="6345" w:type="dxa"/>
            <w:gridSpan w:val="3"/>
            <w:tcBorders>
              <w:top w:val="single" w:color="auto" w:sz="6" w:space="0"/>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行政许可</w:t>
            </w:r>
          </w:p>
        </w:tc>
        <w:tc>
          <w:tcPr>
            <w:tcW w:w="6345" w:type="dxa"/>
            <w:gridSpan w:val="3"/>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trPr>
        <w:tc>
          <w:tcPr>
            <w:tcW w:w="8775" w:type="dxa"/>
            <w:gridSpan w:val="4"/>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信息内容</w:t>
            </w:r>
          </w:p>
        </w:tc>
        <w:tc>
          <w:tcPr>
            <w:tcW w:w="6345" w:type="dxa"/>
            <w:gridSpan w:val="3"/>
            <w:tcBorders>
              <w:top w:val="single" w:color="auto" w:sz="6" w:space="0"/>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行政处罚</w:t>
            </w:r>
          </w:p>
        </w:tc>
        <w:tc>
          <w:tcPr>
            <w:tcW w:w="6345" w:type="dxa"/>
            <w:gridSpan w:val="3"/>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行政强制</w:t>
            </w:r>
          </w:p>
        </w:tc>
        <w:tc>
          <w:tcPr>
            <w:tcW w:w="6345" w:type="dxa"/>
            <w:gridSpan w:val="3"/>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trPr>
        <w:tc>
          <w:tcPr>
            <w:tcW w:w="8775" w:type="dxa"/>
            <w:gridSpan w:val="4"/>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信息内容</w:t>
            </w:r>
          </w:p>
        </w:tc>
        <w:tc>
          <w:tcPr>
            <w:tcW w:w="6345" w:type="dxa"/>
            <w:gridSpan w:val="3"/>
            <w:tcBorders>
              <w:top w:val="single" w:color="auto" w:sz="6" w:space="0"/>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行政事业性收费</w:t>
            </w:r>
          </w:p>
        </w:tc>
        <w:tc>
          <w:tcPr>
            <w:tcW w:w="6345" w:type="dxa"/>
            <w:gridSpan w:val="3"/>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600" w:lineRule="exact"/>
        <w:ind w:left="0" w:right="0" w:firstLine="643" w:firstLineChars="200"/>
        <w:jc w:val="left"/>
        <w:textAlignment w:val="auto"/>
        <w:rPr>
          <w:rFonts w:hint="default" w:ascii="Times New Roman" w:hAnsi="Times New Roman" w:eastAsia="方正黑体简体" w:cs="Times New Roman"/>
          <w:b/>
          <w:bCs/>
          <w:i w:val="0"/>
          <w:caps w:val="0"/>
          <w:color w:val="333333"/>
          <w:spacing w:val="0"/>
          <w:sz w:val="32"/>
          <w:szCs w:val="32"/>
        </w:rPr>
      </w:pPr>
      <w:r>
        <w:rPr>
          <w:rFonts w:hint="default" w:ascii="Times New Roman" w:hAnsi="Times New Roman" w:eastAsia="方正黑体简体" w:cs="Times New Roman"/>
          <w:b/>
          <w:bCs/>
          <w:i w:val="0"/>
          <w:caps w:val="0"/>
          <w:color w:val="333333"/>
          <w:spacing w:val="0"/>
          <w:sz w:val="32"/>
          <w:szCs w:val="32"/>
          <w:lang w:val="en-US" w:eastAsia="zh-CN"/>
        </w:rPr>
        <w:t>三、</w:t>
      </w:r>
      <w:r>
        <w:rPr>
          <w:rFonts w:hint="default" w:ascii="Times New Roman" w:hAnsi="Times New Roman" w:eastAsia="方正黑体简体" w:cs="Times New Roman"/>
          <w:b/>
          <w:bCs/>
          <w:i w:val="0"/>
          <w:caps w:val="0"/>
          <w:color w:val="333333"/>
          <w:spacing w:val="0"/>
          <w:sz w:val="32"/>
          <w:szCs w:val="32"/>
        </w:rPr>
        <w:t>收到和处理政府信息公开申请情况</w:t>
      </w:r>
    </w:p>
    <w:tbl>
      <w:tblPr>
        <w:tblStyle w:val="5"/>
        <w:tblW w:w="8820" w:type="dxa"/>
        <w:tblCellSpacing w:w="0" w:type="dxa"/>
        <w:tblInd w:w="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5"/>
        <w:gridCol w:w="945"/>
        <w:gridCol w:w="2880"/>
        <w:gridCol w:w="795"/>
        <w:gridCol w:w="600"/>
        <w:gridCol w:w="585"/>
        <w:gridCol w:w="600"/>
        <w:gridCol w:w="570"/>
        <w:gridCol w:w="555"/>
        <w:gridCol w:w="5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blCellSpacing w:w="0" w:type="dxa"/>
        </w:trPr>
        <w:tc>
          <w:tcPr>
            <w:tcW w:w="4590"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（本列数据的勾稽关系为：第一项加第二项之和，等于第三项加第四项之和）</w:t>
            </w:r>
          </w:p>
        </w:tc>
        <w:tc>
          <w:tcPr>
            <w:tcW w:w="4230" w:type="dxa"/>
            <w:gridSpan w:val="7"/>
            <w:tcBorders>
              <w:top w:val="single" w:color="auto" w:sz="6" w:space="0"/>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59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24"/>
                <w:szCs w:val="24"/>
              </w:rPr>
            </w:pPr>
          </w:p>
        </w:tc>
        <w:tc>
          <w:tcPr>
            <w:tcW w:w="795" w:type="dxa"/>
            <w:vMerge w:val="restart"/>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自然人</w:t>
            </w:r>
          </w:p>
        </w:tc>
        <w:tc>
          <w:tcPr>
            <w:tcW w:w="2910"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法人或其他组织</w:t>
            </w:r>
          </w:p>
        </w:tc>
        <w:tc>
          <w:tcPr>
            <w:tcW w:w="525"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59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24"/>
                <w:szCs w:val="24"/>
              </w:rPr>
            </w:pPr>
          </w:p>
        </w:tc>
        <w:tc>
          <w:tcPr>
            <w:tcW w:w="79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商业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企业</w:t>
            </w:r>
          </w:p>
        </w:tc>
        <w:tc>
          <w:tcPr>
            <w:tcW w:w="58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科研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机构</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社会公益组织</w:t>
            </w:r>
          </w:p>
        </w:tc>
        <w:tc>
          <w:tcPr>
            <w:tcW w:w="57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法律服务机构</w:t>
            </w:r>
          </w:p>
        </w:tc>
        <w:tc>
          <w:tcPr>
            <w:tcW w:w="55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其他</w:t>
            </w:r>
          </w:p>
        </w:tc>
        <w:tc>
          <w:tcPr>
            <w:tcW w:w="525"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tblCellSpacing w:w="0" w:type="dxa"/>
        </w:trPr>
        <w:tc>
          <w:tcPr>
            <w:tcW w:w="4590"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一、本年新收政府信息公开申请数量</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tblCellSpacing w:w="0" w:type="dxa"/>
        </w:trPr>
        <w:tc>
          <w:tcPr>
            <w:tcW w:w="4590"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二、上年结转政府信息公开申请数量</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65"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三、本年度办理结果</w:t>
            </w:r>
          </w:p>
        </w:tc>
        <w:tc>
          <w:tcPr>
            <w:tcW w:w="3825" w:type="dxa"/>
            <w:gridSpan w:val="2"/>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（一）予以公开</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25" w:type="dxa"/>
            <w:tcBorders>
              <w:top w:val="single" w:color="auto" w:sz="6" w:space="0"/>
              <w:left w:val="nil"/>
              <w:bottom w:val="single" w:color="auto" w:sz="6" w:space="0"/>
              <w:right w:val="single" w:color="auto" w:sz="6" w:space="0"/>
            </w:tcBorders>
            <w:shd w:val="clear" w:color="auto" w:fill="auto"/>
            <w:tcMar>
              <w:left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3825" w:type="dxa"/>
            <w:gridSpan w:val="2"/>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（二）部分公开（区分处理的，只计这一情形，不计其他情形）</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945" w:type="dxa"/>
            <w:vMerge w:val="restart"/>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（三）不予公开</w:t>
            </w: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1.属于国家秘密</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25" w:type="dxa"/>
            <w:tcBorders>
              <w:top w:val="single" w:color="auto" w:sz="6" w:space="0"/>
              <w:left w:val="nil"/>
              <w:bottom w:val="single" w:color="auto" w:sz="6" w:space="0"/>
              <w:right w:val="single" w:color="auto" w:sz="6" w:space="0"/>
            </w:tcBorders>
            <w:shd w:val="clear" w:color="auto" w:fill="auto"/>
            <w:tcMar>
              <w:left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2.其他法律行政法规禁止公开</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3.危及“三安全一稳定”</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4.保护第三方合法权益</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5.属于三类内部事务信息</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6.属于四类过程性信息</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7.属于行政执法案卷</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8.属于行政查询事项</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945" w:type="dxa"/>
            <w:vMerge w:val="restart"/>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（四）无法提供</w:t>
            </w: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1.本机关不掌握相关政府信息</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2.没有现成信息需要另行制作</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1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3.补正后申请内容仍不明确</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65"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945" w:type="dxa"/>
            <w:vMerge w:val="restart"/>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（五）不予处理</w:t>
            </w: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1.信访举报投诉类申请</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2.重复申请</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3.要求提供公开出版物</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4.无正当理由大量反复申请</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5.要求行政机关确认或重新出具已获取信息</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50"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945" w:type="dxa"/>
            <w:vMerge w:val="restart"/>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（六）其他处理</w:t>
            </w:r>
          </w:p>
        </w:tc>
        <w:tc>
          <w:tcPr>
            <w:tcW w:w="288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1.申请人无正当理由逾期不补正、行政机关不再处理其政府信息公开申请</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2.申请人逾期未按收费通知要求缴纳费用、行政机关不再处理其政府信息公开申请</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3.其他</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default" w:ascii="Times New Roman" w:hAnsi="Times New Roman" w:cs="Times New Roman"/>
                <w:sz w:val="24"/>
                <w:szCs w:val="24"/>
              </w:rPr>
            </w:pPr>
          </w:p>
        </w:tc>
        <w:tc>
          <w:tcPr>
            <w:tcW w:w="3825" w:type="dxa"/>
            <w:gridSpan w:val="2"/>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（七）总计</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590"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四、结转下年度继续办理</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3" w:firstLineChars="200"/>
        <w:jc w:val="left"/>
        <w:rPr>
          <w:rFonts w:hint="default" w:ascii="Times New Roman" w:hAnsi="Times New Roman" w:eastAsia="方正黑体简体" w:cs="Times New Roman"/>
          <w:b/>
          <w:bCs/>
          <w:color w:val="333333"/>
          <w:sz w:val="32"/>
          <w:szCs w:val="32"/>
        </w:rPr>
      </w:pPr>
      <w:r>
        <w:rPr>
          <w:rFonts w:hint="default" w:ascii="Times New Roman" w:hAnsi="Times New Roman" w:eastAsia="方正黑体简体" w:cs="Times New Roman"/>
          <w:b/>
          <w:bCs/>
          <w:i w:val="0"/>
          <w:caps w:val="0"/>
          <w:color w:val="333333"/>
          <w:spacing w:val="0"/>
          <w:sz w:val="32"/>
          <w:szCs w:val="32"/>
        </w:rPr>
        <w:t>四、因政府信息公开工作被申请行政复议、提起行政诉讼情况</w:t>
      </w:r>
    </w:p>
    <w:tbl>
      <w:tblPr>
        <w:tblStyle w:val="5"/>
        <w:tblW w:w="8805" w:type="dxa"/>
        <w:tblCellSpacing w:w="0" w:type="dxa"/>
        <w:tblInd w:w="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0"/>
        <w:gridCol w:w="609"/>
        <w:gridCol w:w="595"/>
        <w:gridCol w:w="580"/>
        <w:gridCol w:w="479"/>
        <w:gridCol w:w="638"/>
        <w:gridCol w:w="638"/>
        <w:gridCol w:w="638"/>
        <w:gridCol w:w="623"/>
        <w:gridCol w:w="465"/>
        <w:gridCol w:w="638"/>
        <w:gridCol w:w="638"/>
        <w:gridCol w:w="638"/>
        <w:gridCol w:w="551"/>
        <w:gridCol w:w="4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289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行政复议</w:t>
            </w:r>
          </w:p>
        </w:tc>
        <w:tc>
          <w:tcPr>
            <w:tcW w:w="5925" w:type="dxa"/>
            <w:gridSpan w:val="10"/>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61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结果维持</w:t>
            </w:r>
          </w:p>
        </w:tc>
        <w:tc>
          <w:tcPr>
            <w:tcW w:w="61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纠正</w:t>
            </w:r>
          </w:p>
        </w:tc>
        <w:tc>
          <w:tcPr>
            <w:tcW w:w="60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其他</w:t>
            </w:r>
            <w:r>
              <w:rPr>
                <w:rFonts w:hint="default" w:ascii="Times New Roman" w:hAnsi="Times New Roman" w:cs="Times New Roman"/>
                <w:color w:val="333333"/>
                <w:sz w:val="24"/>
                <w:szCs w:val="24"/>
              </w:rPr>
              <w:br w:type="textWrapping"/>
            </w:r>
            <w:r>
              <w:rPr>
                <w:rFonts w:hint="default" w:ascii="Times New Roman" w:hAnsi="Times New Roman" w:cs="Times New Roman"/>
                <w:color w:val="333333"/>
                <w:sz w:val="24"/>
                <w:szCs w:val="24"/>
              </w:rPr>
              <w:t>结果</w:t>
            </w:r>
          </w:p>
        </w:tc>
        <w:tc>
          <w:tcPr>
            <w:tcW w:w="585"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尚未</w:t>
            </w:r>
            <w:r>
              <w:rPr>
                <w:rFonts w:hint="default" w:ascii="Times New Roman" w:hAnsi="Times New Roman" w:cs="Times New Roman"/>
                <w:color w:val="333333"/>
                <w:sz w:val="24"/>
                <w:szCs w:val="24"/>
              </w:rPr>
              <w:br w:type="textWrapping"/>
            </w:r>
            <w:r>
              <w:rPr>
                <w:rFonts w:hint="default" w:ascii="Times New Roman" w:hAnsi="Times New Roman" w:cs="Times New Roman"/>
                <w:color w:val="333333"/>
                <w:sz w:val="24"/>
                <w:szCs w:val="24"/>
              </w:rPr>
              <w:t>审结</w:t>
            </w:r>
          </w:p>
        </w:tc>
        <w:tc>
          <w:tcPr>
            <w:tcW w:w="465"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总计</w:t>
            </w:r>
          </w:p>
        </w:tc>
        <w:tc>
          <w:tcPr>
            <w:tcW w:w="3015"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未经复议直接起诉</w:t>
            </w:r>
          </w:p>
        </w:tc>
        <w:tc>
          <w:tcPr>
            <w:tcW w:w="2910"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24"/>
                <w:szCs w:val="24"/>
              </w:rPr>
            </w:pPr>
          </w:p>
        </w:tc>
        <w:tc>
          <w:tcPr>
            <w:tcW w:w="61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24"/>
                <w:szCs w:val="24"/>
              </w:rPr>
            </w:pPr>
          </w:p>
        </w:tc>
        <w:tc>
          <w:tcPr>
            <w:tcW w:w="585"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24"/>
                <w:szCs w:val="24"/>
              </w:rPr>
            </w:pPr>
          </w:p>
        </w:tc>
        <w:tc>
          <w:tcPr>
            <w:tcW w:w="465"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24"/>
                <w:szCs w:val="24"/>
              </w:rPr>
            </w:pP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结果</w:t>
            </w:r>
            <w:r>
              <w:rPr>
                <w:rFonts w:hint="default" w:ascii="Times New Roman" w:hAnsi="Times New Roman" w:cs="Times New Roman"/>
                <w:color w:val="333333"/>
                <w:sz w:val="24"/>
                <w:szCs w:val="24"/>
              </w:rPr>
              <w:br w:type="textWrapping"/>
            </w:r>
            <w:r>
              <w:rPr>
                <w:rFonts w:hint="default" w:ascii="Times New Roman" w:hAnsi="Times New Roman" w:cs="Times New Roman"/>
                <w:color w:val="333333"/>
                <w:sz w:val="24"/>
                <w:szCs w:val="24"/>
              </w:rPr>
              <w:t>维持</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结果</w:t>
            </w:r>
            <w:r>
              <w:rPr>
                <w:rFonts w:hint="default" w:ascii="Times New Roman" w:hAnsi="Times New Roman" w:cs="Times New Roman"/>
                <w:color w:val="333333"/>
                <w:sz w:val="24"/>
                <w:szCs w:val="24"/>
              </w:rPr>
              <w:br w:type="textWrapping"/>
            </w:r>
            <w:r>
              <w:rPr>
                <w:rFonts w:hint="default" w:ascii="Times New Roman" w:hAnsi="Times New Roman" w:cs="Times New Roman"/>
                <w:color w:val="333333"/>
                <w:sz w:val="24"/>
                <w:szCs w:val="24"/>
              </w:rPr>
              <w:t>纠正</w:t>
            </w:r>
          </w:p>
        </w:tc>
        <w:tc>
          <w:tcPr>
            <w:tcW w:w="64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其他</w:t>
            </w:r>
            <w:r>
              <w:rPr>
                <w:rFonts w:hint="default" w:ascii="Times New Roman" w:hAnsi="Times New Roman" w:cs="Times New Roman"/>
                <w:color w:val="333333"/>
                <w:sz w:val="24"/>
                <w:szCs w:val="24"/>
              </w:rPr>
              <w:br w:type="textWrapping"/>
            </w:r>
            <w:r>
              <w:rPr>
                <w:rFonts w:hint="default" w:ascii="Times New Roman" w:hAnsi="Times New Roman" w:cs="Times New Roman"/>
                <w:color w:val="333333"/>
                <w:sz w:val="24"/>
                <w:szCs w:val="24"/>
              </w:rPr>
              <w:t>结果</w:t>
            </w:r>
          </w:p>
        </w:tc>
        <w:tc>
          <w:tcPr>
            <w:tcW w:w="63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尚未</w:t>
            </w:r>
            <w:r>
              <w:rPr>
                <w:rFonts w:hint="default" w:ascii="Times New Roman" w:hAnsi="Times New Roman" w:cs="Times New Roman"/>
                <w:color w:val="333333"/>
                <w:sz w:val="24"/>
                <w:szCs w:val="24"/>
              </w:rPr>
              <w:br w:type="textWrapping"/>
            </w:r>
            <w:r>
              <w:rPr>
                <w:rFonts w:hint="default" w:ascii="Times New Roman" w:hAnsi="Times New Roman" w:cs="Times New Roman"/>
                <w:color w:val="333333"/>
                <w:sz w:val="24"/>
                <w:szCs w:val="24"/>
              </w:rPr>
              <w:t>审结</w:t>
            </w:r>
          </w:p>
        </w:tc>
        <w:tc>
          <w:tcPr>
            <w:tcW w:w="42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总计</w:t>
            </w:r>
          </w:p>
        </w:tc>
        <w:tc>
          <w:tcPr>
            <w:tcW w:w="64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结果</w:t>
            </w:r>
            <w:r>
              <w:rPr>
                <w:rFonts w:hint="default" w:ascii="Times New Roman" w:hAnsi="Times New Roman" w:cs="Times New Roman"/>
                <w:color w:val="333333"/>
                <w:sz w:val="24"/>
                <w:szCs w:val="24"/>
              </w:rPr>
              <w:br w:type="textWrapping"/>
            </w:r>
            <w:r>
              <w:rPr>
                <w:rFonts w:hint="default" w:ascii="Times New Roman" w:hAnsi="Times New Roman" w:cs="Times New Roman"/>
                <w:color w:val="333333"/>
                <w:sz w:val="24"/>
                <w:szCs w:val="24"/>
              </w:rPr>
              <w:t>维持</w:t>
            </w:r>
          </w:p>
        </w:tc>
        <w:tc>
          <w:tcPr>
            <w:tcW w:w="64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结果</w:t>
            </w:r>
            <w:r>
              <w:rPr>
                <w:rFonts w:hint="default" w:ascii="Times New Roman" w:hAnsi="Times New Roman" w:cs="Times New Roman"/>
                <w:color w:val="333333"/>
                <w:sz w:val="24"/>
                <w:szCs w:val="24"/>
              </w:rPr>
              <w:br w:type="textWrapping"/>
            </w:r>
            <w:r>
              <w:rPr>
                <w:rFonts w:hint="default" w:ascii="Times New Roman" w:hAnsi="Times New Roman" w:cs="Times New Roman"/>
                <w:color w:val="333333"/>
                <w:sz w:val="24"/>
                <w:szCs w:val="24"/>
              </w:rPr>
              <w:t>纠正</w:t>
            </w:r>
          </w:p>
        </w:tc>
        <w:tc>
          <w:tcPr>
            <w:tcW w:w="64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其他</w:t>
            </w:r>
            <w:r>
              <w:rPr>
                <w:rFonts w:hint="default" w:ascii="Times New Roman" w:hAnsi="Times New Roman" w:cs="Times New Roman"/>
                <w:color w:val="333333"/>
                <w:sz w:val="24"/>
                <w:szCs w:val="24"/>
              </w:rPr>
              <w:br w:type="textWrapping"/>
            </w:r>
            <w:r>
              <w:rPr>
                <w:rFonts w:hint="default" w:ascii="Times New Roman" w:hAnsi="Times New Roman" w:cs="Times New Roman"/>
                <w:color w:val="333333"/>
                <w:sz w:val="24"/>
                <w:szCs w:val="24"/>
              </w:rPr>
              <w:t>结果</w:t>
            </w:r>
          </w:p>
        </w:tc>
        <w:tc>
          <w:tcPr>
            <w:tcW w:w="55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尚未</w:t>
            </w:r>
            <w:r>
              <w:rPr>
                <w:rFonts w:hint="default" w:ascii="Times New Roman" w:hAnsi="Times New Roman" w:cs="Times New Roman"/>
                <w:color w:val="333333"/>
                <w:sz w:val="24"/>
                <w:szCs w:val="24"/>
              </w:rPr>
              <w:br w:type="textWrapping"/>
            </w:r>
            <w:r>
              <w:rPr>
                <w:rFonts w:hint="default" w:ascii="Times New Roman" w:hAnsi="Times New Roman" w:cs="Times New Roman"/>
                <w:color w:val="333333"/>
                <w:sz w:val="24"/>
                <w:szCs w:val="24"/>
              </w:rPr>
              <w:t>审结</w:t>
            </w:r>
          </w:p>
        </w:tc>
        <w:tc>
          <w:tcPr>
            <w:tcW w:w="40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tblCellSpacing w:w="0" w:type="dxa"/>
        </w:trPr>
        <w:tc>
          <w:tcPr>
            <w:tcW w:w="6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1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8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0 </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0 </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0 </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0 </w:t>
            </w:r>
          </w:p>
        </w:tc>
        <w:tc>
          <w:tcPr>
            <w:tcW w:w="6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0 </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0 </w:t>
            </w:r>
          </w:p>
        </w:tc>
        <w:tc>
          <w:tcPr>
            <w:tcW w:w="4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Times New Roman" w:hAnsi="Times New Roman" w:eastAsia="方正黑体简体" w:cs="Times New Roman"/>
          <w:b/>
          <w:bCs/>
          <w:color w:val="333333"/>
          <w:sz w:val="32"/>
          <w:szCs w:val="32"/>
        </w:rPr>
      </w:pPr>
      <w:r>
        <w:rPr>
          <w:rFonts w:hint="default" w:ascii="Times New Roman" w:hAnsi="Times New Roman" w:eastAsia="方正黑体简体" w:cs="Times New Roman"/>
          <w:b/>
          <w:bCs/>
          <w:i w:val="0"/>
          <w:caps w:val="0"/>
          <w:color w:val="333333"/>
          <w:spacing w:val="0"/>
          <w:sz w:val="32"/>
          <w:szCs w:val="32"/>
        </w:rPr>
        <w:t>五、存在的主要问题及改进情况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2023年我局高度重视政务信息公开工作，严格贯彻落实《条例》要求，在信息公开方面取得一定成绩，但仍存在不足。一是人员紧缺，任务繁重，导致政务公开工作的</w:t>
      </w:r>
      <w:r>
        <w:rPr>
          <w:rFonts w:hint="eastAsia" w:ascii="Times New Roman" w:hAnsi="Times New Roman" w:eastAsia="方正仿宋简体" w:cs="Times New Roman"/>
          <w:b/>
          <w:bCs/>
          <w:i w:val="0"/>
          <w:caps w:val="0"/>
          <w:color w:val="333333"/>
          <w:spacing w:val="0"/>
          <w:sz w:val="32"/>
          <w:szCs w:val="32"/>
          <w:lang w:val="en-US" w:eastAsia="zh-CN"/>
        </w:rPr>
        <w:t>业务技能有待提升</w:t>
      </w:r>
      <w:r>
        <w:rPr>
          <w:rFonts w:hint="default" w:ascii="Times New Roman" w:hAnsi="Times New Roman" w:eastAsia="方正仿宋简体" w:cs="Times New Roman"/>
          <w:b/>
          <w:bCs/>
          <w:i w:val="0"/>
          <w:caps w:val="0"/>
          <w:color w:val="333333"/>
          <w:spacing w:val="0"/>
          <w:sz w:val="32"/>
          <w:szCs w:val="32"/>
        </w:rPr>
        <w:t>；二是主动公开的信息更新不够及时，公开内容有待进一步细化。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针对以上问题，2024年我局将按照《条例》和省市县对政府信息公开的相关要求，重点做好以下工作：一是加强业务培训。将信息公开工作更好地融入日常业务工作，认真做好门户网站信息公开管理培训，提升业务技能。二是加强监督管理。对发布信息内容加强审查、监督管理，强化对信息时效性管理，避免信息公开遗漏等情况发生。三是进一步丰富信息公开形式，根据职责任务和工作实际，不断调整充实法定主动公开内容，通过文字、图片、漫画、音频、视频等多种形式，拓展主动公开的广度和深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Times New Roman" w:hAnsi="Times New Roman" w:eastAsia="方正黑体简体" w:cs="Times New Roman"/>
          <w:b/>
          <w:bCs/>
          <w:i w:val="0"/>
          <w:caps w:val="0"/>
          <w:color w:val="333333"/>
          <w:spacing w:val="0"/>
          <w:sz w:val="32"/>
          <w:szCs w:val="32"/>
        </w:rPr>
      </w:pPr>
      <w:r>
        <w:rPr>
          <w:rFonts w:hint="default" w:ascii="Times New Roman" w:hAnsi="Times New Roman" w:eastAsia="方正黑体简体" w:cs="Times New Roman"/>
          <w:b/>
          <w:bCs/>
          <w:i w:val="0"/>
          <w:caps w:val="0"/>
          <w:color w:val="333333"/>
          <w:spacing w:val="0"/>
          <w:sz w:val="32"/>
          <w:szCs w:val="32"/>
        </w:rPr>
        <w:t>六、其他需要报告的事项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600" w:lineRule="exact"/>
        <w:ind w:left="0" w:right="0" w:firstLine="643" w:firstLineChars="200"/>
        <w:jc w:val="left"/>
        <w:textAlignment w:val="auto"/>
        <w:rPr>
          <w:rFonts w:hint="default" w:ascii="Times New Roman" w:hAnsi="Times New Roman" w:eastAsia="方正楷体简体" w:cs="Times New Roman"/>
          <w:b/>
          <w:bCs/>
          <w:i w:val="0"/>
          <w:caps w:val="0"/>
          <w:color w:val="333333"/>
          <w:spacing w:val="0"/>
          <w:sz w:val="32"/>
          <w:szCs w:val="32"/>
          <w:lang w:val="en-US" w:eastAsia="zh-CN"/>
        </w:rPr>
      </w:pPr>
      <w:r>
        <w:rPr>
          <w:rFonts w:hint="default" w:ascii="Times New Roman" w:hAnsi="Times New Roman" w:eastAsia="方正楷体简体" w:cs="Times New Roman"/>
          <w:b/>
          <w:bCs/>
          <w:i w:val="0"/>
          <w:caps w:val="0"/>
          <w:color w:val="333333"/>
          <w:spacing w:val="0"/>
          <w:sz w:val="32"/>
          <w:szCs w:val="32"/>
          <w:lang w:eastAsia="zh-CN"/>
        </w:rPr>
        <w:t>（</w:t>
      </w:r>
      <w:r>
        <w:rPr>
          <w:rFonts w:hint="default" w:ascii="Times New Roman" w:hAnsi="Times New Roman" w:eastAsia="方正楷体简体" w:cs="Times New Roman"/>
          <w:b/>
          <w:bCs/>
          <w:i w:val="0"/>
          <w:caps w:val="0"/>
          <w:color w:val="333333"/>
          <w:spacing w:val="0"/>
          <w:sz w:val="32"/>
          <w:szCs w:val="32"/>
          <w:lang w:val="en-US" w:eastAsia="zh-CN"/>
        </w:rPr>
        <w:t>一</w:t>
      </w:r>
      <w:r>
        <w:rPr>
          <w:rFonts w:hint="default" w:ascii="Times New Roman" w:hAnsi="Times New Roman" w:eastAsia="方正楷体简体" w:cs="Times New Roman"/>
          <w:b/>
          <w:bCs/>
          <w:i w:val="0"/>
          <w:caps w:val="0"/>
          <w:color w:val="333333"/>
          <w:spacing w:val="0"/>
          <w:sz w:val="32"/>
          <w:szCs w:val="32"/>
          <w:lang w:eastAsia="zh-CN"/>
        </w:rPr>
        <w:t>）</w:t>
      </w:r>
      <w:r>
        <w:rPr>
          <w:rFonts w:hint="default" w:ascii="Times New Roman" w:hAnsi="Times New Roman" w:eastAsia="方正楷体简体" w:cs="Times New Roman"/>
          <w:b/>
          <w:bCs/>
          <w:i w:val="0"/>
          <w:caps w:val="0"/>
          <w:color w:val="333333"/>
          <w:spacing w:val="0"/>
          <w:sz w:val="32"/>
          <w:szCs w:val="32"/>
          <w:lang w:val="en-US" w:eastAsia="zh-CN"/>
        </w:rPr>
        <w:t>依据《政府信息公开信息处理费管理办法》收取信息处理费情况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Times New Roman" w:hAnsi="Times New Roman" w:eastAsia="方正仿宋简体" w:cs="Times New Roman"/>
          <w:b/>
          <w:bCs/>
          <w:i w:val="0"/>
          <w:caps w:val="0"/>
          <w:color w:val="333333"/>
          <w:spacing w:val="0"/>
          <w:sz w:val="32"/>
          <w:szCs w:val="32"/>
          <w:lang w:val="en-US" w:eastAsia="zh-CN"/>
        </w:rPr>
      </w:pPr>
      <w:r>
        <w:rPr>
          <w:rFonts w:hint="default" w:ascii="Times New Roman" w:hAnsi="Times New Roman" w:eastAsia="方正仿宋简体" w:cs="Times New Roman"/>
          <w:b/>
          <w:bCs/>
          <w:i w:val="0"/>
          <w:caps w:val="0"/>
          <w:color w:val="333333"/>
          <w:spacing w:val="0"/>
          <w:sz w:val="32"/>
          <w:szCs w:val="32"/>
          <w:lang w:val="en-US" w:eastAsia="zh-CN"/>
        </w:rPr>
        <w:t>2023年微山县退役军人事务局依据《政府信息公开信息处理费管理办法》，未向公民、法人收取信息处理费用。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600" w:lineRule="exact"/>
        <w:ind w:left="0" w:right="0" w:firstLine="643" w:firstLineChars="200"/>
        <w:jc w:val="left"/>
        <w:textAlignment w:val="auto"/>
        <w:rPr>
          <w:rFonts w:hint="default" w:ascii="Times New Roman" w:hAnsi="Times New Roman" w:eastAsia="方正楷体简体" w:cs="Times New Roman"/>
          <w:b/>
          <w:bCs/>
          <w:i w:val="0"/>
          <w:caps w:val="0"/>
          <w:color w:val="333333"/>
          <w:spacing w:val="0"/>
          <w:sz w:val="32"/>
          <w:szCs w:val="32"/>
          <w:lang w:val="en-US" w:eastAsia="zh-CN"/>
        </w:rPr>
      </w:pPr>
      <w:r>
        <w:rPr>
          <w:rFonts w:hint="default" w:ascii="Times New Roman" w:hAnsi="Times New Roman" w:eastAsia="方正楷体简体" w:cs="Times New Roman"/>
          <w:b/>
          <w:bCs/>
          <w:i w:val="0"/>
          <w:caps w:val="0"/>
          <w:color w:val="333333"/>
          <w:spacing w:val="0"/>
          <w:sz w:val="32"/>
          <w:szCs w:val="32"/>
          <w:lang w:val="en-US" w:eastAsia="zh-CN"/>
        </w:rPr>
        <w:t>（二）落实上级年度政务公开工作要点情况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Times New Roman" w:hAnsi="Times New Roman" w:eastAsia="方正仿宋简体" w:cs="Times New Roman"/>
          <w:b/>
          <w:bCs/>
          <w:i w:val="0"/>
          <w:caps w:val="0"/>
          <w:color w:val="333333"/>
          <w:spacing w:val="0"/>
          <w:sz w:val="32"/>
          <w:szCs w:val="32"/>
          <w:lang w:val="en-US" w:eastAsia="zh-CN"/>
        </w:rPr>
      </w:pPr>
      <w:r>
        <w:rPr>
          <w:rFonts w:hint="default" w:ascii="Times New Roman" w:hAnsi="Times New Roman" w:eastAsia="方正仿宋简体" w:cs="Times New Roman"/>
          <w:b/>
          <w:bCs/>
          <w:i w:val="0"/>
          <w:caps w:val="0"/>
          <w:color w:val="333333"/>
          <w:spacing w:val="0"/>
          <w:sz w:val="32"/>
          <w:szCs w:val="32"/>
          <w:lang w:val="en-US" w:eastAsia="zh-CN"/>
        </w:rPr>
        <w:t>县退役军人事务局严格贯彻落实省、市、县关于政务公开工作的系列部署要求，压实各部门、局属各事业单位工作责任，及时更新主动公开目录和指南，第一时间发布退役军人相关政策并做好政策解读。立足退役军人工作实际，以服务和保障退役军人工作为重要抓手，真实、简明的公开相关服务和保障内容，便于群众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0" w:afterAutospacing="0" w:line="600" w:lineRule="exact"/>
        <w:ind w:left="0" w:right="0" w:firstLine="643" w:firstLineChars="200"/>
        <w:jc w:val="left"/>
        <w:textAlignment w:val="auto"/>
        <w:rPr>
          <w:rFonts w:hint="default" w:ascii="Times New Roman" w:hAnsi="Times New Roman" w:eastAsia="方正楷体简体" w:cs="Times New Roman"/>
          <w:b/>
          <w:bCs/>
          <w:i w:val="0"/>
          <w:caps w:val="0"/>
          <w:color w:val="333333"/>
          <w:spacing w:val="0"/>
          <w:sz w:val="32"/>
          <w:szCs w:val="32"/>
          <w:lang w:val="en-US" w:eastAsia="zh-CN"/>
        </w:rPr>
      </w:pPr>
      <w:r>
        <w:rPr>
          <w:rFonts w:hint="default" w:ascii="Times New Roman" w:hAnsi="Times New Roman" w:eastAsia="方正楷体简体" w:cs="Times New Roman"/>
          <w:b/>
          <w:bCs/>
          <w:i w:val="0"/>
          <w:caps w:val="0"/>
          <w:color w:val="333333"/>
          <w:spacing w:val="0"/>
          <w:sz w:val="32"/>
          <w:szCs w:val="32"/>
          <w:lang w:val="en-US" w:eastAsia="zh-CN"/>
        </w:rPr>
        <w:t>（三）人大代表建议和政协提案办理结果公开情况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Times New Roman" w:hAnsi="Times New Roman" w:eastAsia="方正仿宋简体" w:cs="Times New Roman"/>
          <w:b/>
          <w:bCs/>
          <w:i w:val="0"/>
          <w:caps w:val="0"/>
          <w:color w:val="333333"/>
          <w:spacing w:val="0"/>
          <w:sz w:val="32"/>
          <w:szCs w:val="32"/>
          <w:lang w:val="en-US" w:eastAsia="zh-CN"/>
        </w:rPr>
      </w:pPr>
      <w:r>
        <w:rPr>
          <w:rFonts w:hint="default" w:ascii="Times New Roman" w:hAnsi="Times New Roman" w:eastAsia="方正仿宋简体" w:cs="Times New Roman"/>
          <w:b/>
          <w:bCs/>
          <w:i w:val="0"/>
          <w:caps w:val="0"/>
          <w:color w:val="333333"/>
          <w:spacing w:val="0"/>
          <w:sz w:val="32"/>
          <w:szCs w:val="32"/>
          <w:lang w:val="en-US" w:eastAsia="zh-CN"/>
        </w:rPr>
        <w:t>2023年微山县退役军人事务局未收到人大代表建议，无政协提案办理。</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00F07"/>
    <w:rsid w:val="0849328B"/>
    <w:rsid w:val="0C0C32AC"/>
    <w:rsid w:val="0E383DA2"/>
    <w:rsid w:val="0F8C3D2A"/>
    <w:rsid w:val="10800F07"/>
    <w:rsid w:val="19EA0932"/>
    <w:rsid w:val="25A612D4"/>
    <w:rsid w:val="2D757EA0"/>
    <w:rsid w:val="306A0AF2"/>
    <w:rsid w:val="34FC7A4F"/>
    <w:rsid w:val="35AD566A"/>
    <w:rsid w:val="379876F3"/>
    <w:rsid w:val="3A324599"/>
    <w:rsid w:val="48511A36"/>
    <w:rsid w:val="571A15CF"/>
    <w:rsid w:val="60053825"/>
    <w:rsid w:val="66280C53"/>
    <w:rsid w:val="697B457F"/>
    <w:rsid w:val="79DE0EEC"/>
    <w:rsid w:val="7CEE6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2437</Words>
  <Characters>2527</Characters>
  <Lines>0</Lines>
  <Paragraphs>0</Paragraphs>
  <TotalTime>17</TotalTime>
  <ScaleCrop>false</ScaleCrop>
  <LinksUpToDate>false</LinksUpToDate>
  <CharactersWithSpaces>2538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2024-01-24T07:22:00Z</dcterms:created>
  <dc:creator>Administrator</dc:creator>
  <cp:lastModifiedBy>Administrator</cp:lastModifiedBy>
  <dcterms:modified xsi:type="dcterms:W3CDTF">2024-01-31T09:18:36Z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C28609EC4DD14DC490233E9A5A6C5264</vt:lpwstr>
  </property>
</Properties>
</file>