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color w:val="auto"/>
          <w:sz w:val="44"/>
          <w:szCs w:val="44"/>
          <w:lang w:val="en-US" w:eastAsia="zh-CN"/>
        </w:rPr>
      </w:pPr>
    </w:p>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color w:val="auto"/>
          <w:sz w:val="44"/>
          <w:szCs w:val="44"/>
          <w:lang w:val="en-US" w:eastAsia="zh-CN"/>
        </w:rPr>
      </w:pPr>
      <w:r>
        <w:rPr>
          <w:rFonts w:hint="default" w:ascii="Times New Roman" w:hAnsi="Times New Roman" w:eastAsia="方正小标宋简体" w:cs="Times New Roman"/>
          <w:b/>
          <w:color w:val="auto"/>
          <w:sz w:val="44"/>
          <w:szCs w:val="44"/>
          <w:lang w:val="en-US" w:eastAsia="zh-CN"/>
        </w:rPr>
        <w:t>微山县统计局</w:t>
      </w:r>
    </w:p>
    <w:p>
      <w:pPr>
        <w:pStyle w:val="2"/>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202</w:t>
      </w:r>
      <w:r>
        <w:rPr>
          <w:rFonts w:hint="default" w:ascii="Times New Roman" w:hAnsi="Times New Roman" w:eastAsia="方正小标宋简体" w:cs="Times New Roman"/>
          <w:b/>
          <w:color w:val="auto"/>
          <w:sz w:val="44"/>
          <w:szCs w:val="44"/>
          <w:lang w:val="en-US" w:eastAsia="zh-CN"/>
        </w:rPr>
        <w:t>3</w:t>
      </w:r>
      <w:r>
        <w:rPr>
          <w:rFonts w:hint="default" w:ascii="Times New Roman" w:hAnsi="Times New Roman" w:eastAsia="方正小标宋简体" w:cs="Times New Roman"/>
          <w:b/>
          <w:color w:val="auto"/>
          <w:sz w:val="44"/>
          <w:szCs w:val="44"/>
        </w:rPr>
        <w:t>年政府信息公开工作年度报告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仿宋" w:cs="Times New Roman"/>
          <w:b/>
          <w:bCs/>
          <w:i w:val="0"/>
          <w:caps w:val="0"/>
          <w:color w:val="auto"/>
          <w:spacing w:val="0"/>
          <w:sz w:val="32"/>
          <w:szCs w:val="32"/>
          <w:shd w:val="clear" w:color="auto" w:fill="FFFFFF"/>
          <w:lang w:val="en-US" w:eastAsia="zh-CN"/>
        </w:rPr>
        <w:t>本报告由微山县统计局按照《中华人民共和国政府信息公开条例》（以下简称《条例》）和《中华人民共和国政府信息公开工作年度报告格式》（国办公开办函〔2021〕30号）要求编制。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仿宋" w:cs="Times New Roman"/>
          <w:b/>
          <w:bCs/>
          <w:i w:val="0"/>
          <w:caps w:val="0"/>
          <w:color w:val="auto"/>
          <w:spacing w:val="0"/>
          <w:sz w:val="32"/>
          <w:szCs w:val="32"/>
          <w:shd w:val="clear" w:color="auto" w:fill="FFFFFF"/>
          <w:lang w:val="en-US" w:eastAsia="zh-CN"/>
        </w:rPr>
        <w:t>本报告内容包括2023年总体情况、主动公开情况、收到和处理政府信息公开申请情况、政府信息公开行政复议和行政诉讼情况、存在的主要问题及改进情况、其他需要报告的事项等六部分内容。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仿宋" w:cs="Times New Roman"/>
          <w:b/>
          <w:bCs/>
          <w:i w:val="0"/>
          <w:caps w:val="0"/>
          <w:color w:val="auto"/>
          <w:spacing w:val="0"/>
          <w:sz w:val="32"/>
          <w:szCs w:val="32"/>
          <w:shd w:val="clear" w:color="auto" w:fill="FFFFFF"/>
          <w:lang w:val="en-US" w:eastAsia="zh-CN"/>
        </w:rPr>
        <w:t>本报告所列数据的统计期限自2023年1月1日起至2023年12月31日止。本报告电子版可在微山县政府门户网站（http://www.weishan.gov.cn/）查阅或下载。如对本报告有疑问，请与微山县统计局联系（地址：微山县昭阳湖路9号创达商务大厦C座三楼，联系电话：0537-8229307）。</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default" w:ascii="Times New Roman" w:hAnsi="Times New Roman" w:eastAsia="黑体" w:cs="Times New Roman"/>
          <w:b/>
          <w:bCs/>
          <w:i w:val="0"/>
          <w:caps w:val="0"/>
          <w:color w:val="auto"/>
          <w:spacing w:val="0"/>
          <w:sz w:val="32"/>
          <w:szCs w:val="32"/>
          <w:shd w:val="clear" w:color="auto" w:fill="FFFFFF"/>
        </w:rPr>
      </w:pPr>
      <w:r>
        <w:rPr>
          <w:rFonts w:hint="default" w:ascii="Times New Roman" w:hAnsi="Times New Roman" w:eastAsia="黑体" w:cs="Times New Roman"/>
          <w:b/>
          <w:bCs/>
          <w:i w:val="0"/>
          <w:caps w:val="0"/>
          <w:color w:val="auto"/>
          <w:spacing w:val="0"/>
          <w:sz w:val="32"/>
          <w:szCs w:val="32"/>
          <w:shd w:val="clear" w:color="auto" w:fill="FFFFFF"/>
          <w:lang w:eastAsia="zh-CN"/>
        </w:rPr>
        <w:t>一、</w:t>
      </w:r>
      <w:r>
        <w:rPr>
          <w:rFonts w:hint="default" w:ascii="Times New Roman" w:hAnsi="Times New Roman" w:eastAsia="黑体" w:cs="Times New Roman"/>
          <w:b/>
          <w:bCs/>
          <w:i w:val="0"/>
          <w:caps w:val="0"/>
          <w:color w:val="auto"/>
          <w:spacing w:val="0"/>
          <w:sz w:val="32"/>
          <w:szCs w:val="32"/>
          <w:shd w:val="clear" w:color="auto" w:fill="FFFFFF"/>
        </w:rPr>
        <w:t>总体情况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仿宋" w:cs="Times New Roman"/>
          <w:b/>
          <w:bCs/>
          <w:i w:val="0"/>
          <w:caps w:val="0"/>
          <w:color w:val="auto"/>
          <w:spacing w:val="0"/>
          <w:sz w:val="32"/>
          <w:szCs w:val="32"/>
          <w:shd w:val="clear" w:color="auto" w:fill="FFFFFF"/>
          <w:lang w:val="en-US" w:eastAsia="zh-CN"/>
        </w:rPr>
        <w:t>2023年，微山县统计局坚持以习近平新时代中国特色社会主义思想为指导，贯彻落实《中华人民共和国政府信息公开条例》和上级决策部署，将政务公开工作纳入年初重点工作，及时、准确地公开统计领域信息，依法保障公众获取信息的权利，进一步提升统计服务水平。</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楷体"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（一）主动公开情况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仿宋" w:cs="Times New Roman"/>
          <w:b/>
          <w:bCs/>
          <w:i w:val="0"/>
          <w:caps w:val="0"/>
          <w:color w:val="auto"/>
          <w:spacing w:val="0"/>
          <w:sz w:val="32"/>
          <w:szCs w:val="32"/>
          <w:shd w:val="clear" w:color="auto" w:fill="FFFFFF"/>
          <w:lang w:val="en-US" w:eastAsia="zh-CN"/>
        </w:rPr>
        <w:t>2023年，县统计局紧紧围绕县委、县政府中心开展工作，分解落实政务公开重点工作任务，平稳有序地推进政府信息公开工作，不断扩大主动公开范围，在服务微山经济高质量发展、提升政府信息公信力、维护群众知情权等方面发挥了积极作用。2023年主动公开信</w:t>
      </w:r>
      <w:r>
        <w:rPr>
          <w:rFonts w:hint="default" w:ascii="Times New Roman" w:hAnsi="Times New Roman" w:eastAsia="仿宋" w:cs="Times New Roman"/>
          <w:b/>
          <w:bCs/>
          <w:i w:val="0"/>
          <w:caps w:val="0"/>
          <w:color w:val="auto"/>
          <w:spacing w:val="0"/>
          <w:sz w:val="32"/>
          <w:szCs w:val="32"/>
          <w:highlight w:val="none"/>
          <w:shd w:val="clear" w:color="auto" w:fill="FFFFFF"/>
          <w:lang w:val="en-US" w:eastAsia="zh-CN"/>
        </w:rPr>
        <w:t>息</w:t>
      </w:r>
      <w:r>
        <w:rPr>
          <w:rFonts w:hint="eastAsia" w:ascii="Times New Roman" w:hAnsi="Times New Roman" w:eastAsia="仿宋" w:cs="Times New Roman"/>
          <w:b/>
          <w:bCs/>
          <w:i w:val="0"/>
          <w:caps w:val="0"/>
          <w:color w:val="auto"/>
          <w:spacing w:val="0"/>
          <w:sz w:val="32"/>
          <w:szCs w:val="32"/>
          <w:highlight w:val="none"/>
          <w:shd w:val="clear" w:color="auto" w:fill="FFFFFF"/>
          <w:lang w:val="en-US" w:eastAsia="zh-CN"/>
        </w:rPr>
        <w:t>86</w:t>
      </w:r>
      <w:r>
        <w:rPr>
          <w:rFonts w:hint="default" w:ascii="Times New Roman" w:hAnsi="Times New Roman" w:eastAsia="仿宋" w:cs="Times New Roman"/>
          <w:b/>
          <w:bCs/>
          <w:i w:val="0"/>
          <w:caps w:val="0"/>
          <w:color w:val="auto"/>
          <w:spacing w:val="0"/>
          <w:sz w:val="32"/>
          <w:szCs w:val="32"/>
          <w:highlight w:val="none"/>
          <w:shd w:val="clear" w:color="auto" w:fill="FFFFFF"/>
          <w:lang w:val="en-US" w:eastAsia="zh-CN"/>
        </w:rPr>
        <w:t>条，其中会议公开28条、统计信息9条、政府集中采购1条，行政权力6条，基层标准化建设1条，部门工作动态30条</w:t>
      </w:r>
      <w:r>
        <w:rPr>
          <w:rFonts w:hint="eastAsia" w:ascii="Times New Roman" w:hAnsi="Times New Roman" w:eastAsia="仿宋" w:cs="Times New Roman"/>
          <w:b/>
          <w:bCs/>
          <w:i w:val="0"/>
          <w:caps w:val="0"/>
          <w:color w:val="auto"/>
          <w:spacing w:val="0"/>
          <w:sz w:val="32"/>
          <w:szCs w:val="32"/>
          <w:highlight w:val="none"/>
          <w:shd w:val="clear" w:color="auto" w:fill="FFFFFF"/>
          <w:lang w:val="en-US" w:eastAsia="zh-CN"/>
        </w:rPr>
        <w:t>，数据开放11条</w:t>
      </w:r>
      <w:r>
        <w:rPr>
          <w:rFonts w:hint="default" w:ascii="Times New Roman" w:hAnsi="Times New Roman" w:eastAsia="仿宋" w:cs="Times New Roman"/>
          <w:b/>
          <w:bCs/>
          <w:i w:val="0"/>
          <w:caps w:val="0"/>
          <w:color w:val="auto"/>
          <w:spacing w:val="0"/>
          <w:sz w:val="32"/>
          <w:szCs w:val="32"/>
          <w:highlight w:val="none"/>
          <w:shd w:val="clear" w:color="auto" w:fill="FFFFFF"/>
          <w:lang w:val="en-US" w:eastAsia="zh-CN"/>
        </w:rPr>
        <w:t>。</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480" w:firstLineChars="200"/>
        <w:jc w:val="center"/>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drawing>
          <wp:inline distT="0" distB="0" distL="114300" distR="114300">
            <wp:extent cx="5615940" cy="3794125"/>
            <wp:effectExtent l="0" t="0" r="0" b="0"/>
            <wp:docPr id="2"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楷体"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（二）依申请公开情况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仿宋" w:cs="Times New Roman"/>
          <w:b/>
          <w:bCs/>
          <w:i w:val="0"/>
          <w:caps w:val="0"/>
          <w:color w:val="auto"/>
          <w:spacing w:val="0"/>
          <w:sz w:val="32"/>
          <w:szCs w:val="32"/>
          <w:shd w:val="clear" w:color="auto" w:fill="FFFFFF"/>
          <w:lang w:val="en-US" w:eastAsia="zh-CN"/>
        </w:rPr>
        <w:t>2023年，县统计局共收到依申请公开1条，已按照相关程序在规定的时间内予以答复。</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楷体"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（三）政府信息管理情况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highlight w:val="yellow"/>
          <w:shd w:val="clear" w:color="auto" w:fill="FFFFFF"/>
          <w:lang w:val="en-US" w:eastAsia="zh-CN"/>
        </w:rPr>
      </w:pPr>
      <w:r>
        <w:rPr>
          <w:rFonts w:hint="eastAsia" w:ascii="Times New Roman" w:hAnsi="Times New Roman" w:eastAsia="仿宋" w:cs="Times New Roman"/>
          <w:b/>
          <w:bCs/>
          <w:i w:val="0"/>
          <w:caps w:val="0"/>
          <w:color w:val="auto"/>
          <w:spacing w:val="0"/>
          <w:sz w:val="32"/>
          <w:szCs w:val="32"/>
          <w:shd w:val="clear" w:color="auto" w:fill="FFFFFF"/>
          <w:lang w:val="en-US" w:eastAsia="zh-CN"/>
        </w:rPr>
        <w:t>为进一步加强政府信息公开制度化、规范化、标准化，县统计局严格规范文件上传机制，坚持“先审查、后公开”，严格落实保密审查和逐级审核，严格遵守“涉密信息不上网，上网信息不涉密”原则，确保信息公开及时准确，</w:t>
      </w:r>
      <w:r>
        <w:rPr>
          <w:rFonts w:hint="default" w:ascii="Times New Roman" w:hAnsi="Times New Roman" w:eastAsia="仿宋" w:cs="Times New Roman"/>
          <w:b/>
          <w:bCs/>
          <w:i w:val="0"/>
          <w:caps w:val="0"/>
          <w:color w:val="auto"/>
          <w:spacing w:val="0"/>
          <w:sz w:val="32"/>
          <w:szCs w:val="32"/>
          <w:shd w:val="clear" w:color="auto" w:fill="FFFFFF"/>
          <w:lang w:val="en-US" w:eastAsia="zh-CN"/>
        </w:rPr>
        <w:t>切实维护好政府信息公开主阵地。</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楷体"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（四）政府信息公开平台建设情况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以县政府门户网站为载体，</w:t>
      </w:r>
      <w:r>
        <w:rPr>
          <w:rFonts w:hint="default" w:ascii="Times New Roman" w:hAnsi="Times New Roman" w:eastAsia="仿宋" w:cs="Times New Roman"/>
          <w:b/>
          <w:bCs/>
          <w:sz w:val="32"/>
          <w:szCs w:val="32"/>
        </w:rPr>
        <w:t>分解落实政务公开重点工作任务，抓住</w:t>
      </w:r>
      <w:r>
        <w:rPr>
          <w:rFonts w:hint="default" w:ascii="Times New Roman" w:hAnsi="Times New Roman" w:eastAsia="仿宋" w:cs="Times New Roman"/>
          <w:b/>
          <w:bCs/>
          <w:sz w:val="32"/>
          <w:szCs w:val="32"/>
          <w:lang w:eastAsia="zh-CN"/>
        </w:rPr>
        <w:t>反映统计重点工作</w:t>
      </w:r>
      <w:r>
        <w:rPr>
          <w:rFonts w:hint="default" w:ascii="Times New Roman" w:hAnsi="Times New Roman" w:eastAsia="仿宋" w:cs="Times New Roman"/>
          <w:b/>
          <w:bCs/>
          <w:sz w:val="32"/>
          <w:szCs w:val="32"/>
        </w:rPr>
        <w:t>关键环节，如</w:t>
      </w:r>
      <w:r>
        <w:rPr>
          <w:rFonts w:hint="default" w:ascii="Times New Roman" w:hAnsi="Times New Roman" w:eastAsia="仿宋" w:cs="Times New Roman"/>
          <w:b/>
          <w:bCs/>
          <w:sz w:val="32"/>
          <w:szCs w:val="32"/>
          <w:lang w:eastAsia="zh-CN"/>
        </w:rPr>
        <w:t>会议公开、工作动态、数据开放、统计数据及解读、统计领域基层政务公开标准目录</w:t>
      </w:r>
      <w:r>
        <w:rPr>
          <w:rFonts w:hint="default" w:ascii="Times New Roman" w:hAnsi="Times New Roman" w:eastAsia="仿宋" w:cs="Times New Roman"/>
          <w:b/>
          <w:bCs/>
          <w:sz w:val="32"/>
          <w:szCs w:val="32"/>
        </w:rPr>
        <w:t>等作为公开重点，向社会公布</w:t>
      </w:r>
      <w:r>
        <w:rPr>
          <w:rFonts w:hint="default" w:ascii="Times New Roman" w:hAnsi="Times New Roman" w:eastAsia="仿宋" w:cs="Times New Roman"/>
          <w:b/>
          <w:bCs/>
          <w:sz w:val="32"/>
          <w:szCs w:val="32"/>
          <w:lang w:eastAsia="zh-CN"/>
        </w:rPr>
        <w:t>统计数据</w:t>
      </w:r>
      <w:r>
        <w:rPr>
          <w:rFonts w:hint="default" w:ascii="Times New Roman" w:hAnsi="Times New Roman" w:eastAsia="仿宋" w:cs="Times New Roman"/>
          <w:b/>
          <w:bCs/>
          <w:sz w:val="32"/>
          <w:szCs w:val="32"/>
        </w:rPr>
        <w:t>，让</w:t>
      </w:r>
      <w:r>
        <w:rPr>
          <w:rFonts w:hint="default" w:ascii="Times New Roman" w:hAnsi="Times New Roman" w:eastAsia="仿宋" w:cs="Times New Roman"/>
          <w:b/>
          <w:bCs/>
          <w:sz w:val="32"/>
          <w:szCs w:val="32"/>
          <w:lang w:eastAsia="zh-CN"/>
        </w:rPr>
        <w:t>统计工作</w:t>
      </w:r>
      <w:r>
        <w:rPr>
          <w:rFonts w:hint="default" w:ascii="Times New Roman" w:hAnsi="Times New Roman" w:eastAsia="仿宋" w:cs="Times New Roman"/>
          <w:b/>
          <w:bCs/>
          <w:sz w:val="32"/>
          <w:szCs w:val="32"/>
        </w:rPr>
        <w:t>透明运行。</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楷体"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监督保障情况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highlight w:val="yellow"/>
          <w:shd w:val="clear" w:color="auto" w:fill="FFFFFF"/>
          <w:lang w:val="en-US" w:eastAsia="zh-CN"/>
        </w:rPr>
      </w:pPr>
      <w:r>
        <w:rPr>
          <w:rFonts w:hint="eastAsia" w:ascii="Times New Roman" w:hAnsi="Times New Roman" w:eastAsia="仿宋" w:cs="Times New Roman"/>
          <w:b/>
          <w:bCs/>
          <w:kern w:val="2"/>
          <w:sz w:val="32"/>
          <w:szCs w:val="32"/>
          <w:lang w:val="en-US" w:eastAsia="zh-CN" w:bidi="ar-SA"/>
        </w:rPr>
        <w:t>本年度，县统计局持续做好对政府信息公开的常态化监督，安排专人定期检查信息公开内容，及时调度统计数据、重点工作落实情况。</w:t>
      </w:r>
      <w:r>
        <w:rPr>
          <w:rFonts w:hint="default" w:ascii="Times New Roman" w:hAnsi="Times New Roman" w:eastAsia="仿宋" w:cs="Times New Roman"/>
          <w:b/>
          <w:bCs/>
          <w:kern w:val="2"/>
          <w:sz w:val="32"/>
          <w:szCs w:val="32"/>
          <w:lang w:val="en-US" w:eastAsia="zh-CN" w:bidi="ar-SA"/>
        </w:rPr>
        <w:t>形成了责任到科室、落实到个人，上下联动、齐抓共管的工作推进体系，使日常</w:t>
      </w:r>
      <w:r>
        <w:rPr>
          <w:rFonts w:hint="eastAsia" w:ascii="Times New Roman" w:hAnsi="Times New Roman" w:eastAsia="仿宋" w:cs="Times New Roman"/>
          <w:b/>
          <w:bCs/>
          <w:kern w:val="2"/>
          <w:sz w:val="32"/>
          <w:szCs w:val="32"/>
          <w:lang w:val="en-US" w:eastAsia="zh-CN" w:bidi="ar-SA"/>
        </w:rPr>
        <w:t>统计</w:t>
      </w:r>
      <w:r>
        <w:rPr>
          <w:rFonts w:hint="default" w:ascii="Times New Roman" w:hAnsi="Times New Roman" w:eastAsia="仿宋" w:cs="Times New Roman"/>
          <w:b/>
          <w:bCs/>
          <w:kern w:val="2"/>
          <w:sz w:val="32"/>
          <w:szCs w:val="32"/>
          <w:lang w:val="en-US" w:eastAsia="zh-CN" w:bidi="ar-SA"/>
        </w:rPr>
        <w:t>工作与政府信息公开工作融为一体，整体同步推进。</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Chars="200" w:right="0" w:rightChars="0" w:firstLine="643" w:firstLineChars="200"/>
        <w:jc w:val="both"/>
        <w:textAlignment w:val="auto"/>
        <w:rPr>
          <w:rFonts w:hint="default" w:ascii="Times New Roman" w:hAnsi="Times New Roman" w:eastAsia="仿宋" w:cs="Times New Roman"/>
          <w:b/>
          <w:bCs/>
          <w:kern w:val="2"/>
          <w:sz w:val="32"/>
          <w:szCs w:val="32"/>
          <w:lang w:val="en-US" w:eastAsia="zh-CN" w:bidi="ar-SA"/>
        </w:rPr>
      </w:pPr>
    </w:p>
    <w:p>
      <w:pPr>
        <w:pStyle w:val="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default" w:ascii="Times New Roman" w:hAnsi="Times New Roman" w:eastAsia="黑体" w:cs="Times New Roman"/>
          <w:b/>
          <w:bCs/>
          <w:i w:val="0"/>
          <w:caps w:val="0"/>
          <w:color w:val="auto"/>
          <w:spacing w:val="0"/>
          <w:sz w:val="32"/>
          <w:szCs w:val="32"/>
          <w:shd w:val="clear" w:color="auto" w:fill="FFFFFF"/>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主动公开政府信息情况</w:t>
      </w:r>
    </w:p>
    <w:tbl>
      <w:tblPr>
        <w:tblStyle w:val="3"/>
        <w:tblW w:w="5439" w:type="pct"/>
        <w:jc w:val="center"/>
        <w:tblLayout w:type="autofit"/>
        <w:tblCellMar>
          <w:top w:w="0" w:type="dxa"/>
          <w:left w:w="108" w:type="dxa"/>
          <w:bottom w:w="0" w:type="dxa"/>
          <w:right w:w="108" w:type="dxa"/>
        </w:tblCellMar>
      </w:tblPr>
      <w:tblGrid>
        <w:gridCol w:w="2878"/>
        <w:gridCol w:w="2261"/>
        <w:gridCol w:w="2261"/>
        <w:gridCol w:w="2457"/>
      </w:tblGrid>
      <w:tr>
        <w:tblPrEx>
          <w:tblCellMar>
            <w:top w:w="0" w:type="dxa"/>
            <w:left w:w="108" w:type="dxa"/>
            <w:bottom w:w="0" w:type="dxa"/>
            <w:right w:w="108" w:type="dxa"/>
          </w:tblCellMar>
        </w:tblPrEx>
        <w:trPr>
          <w:trHeight w:val="56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信息内容</w:t>
            </w:r>
          </w:p>
        </w:tc>
        <w:tc>
          <w:tcPr>
            <w:tcW w:w="114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本年制发件数</w:t>
            </w:r>
          </w:p>
        </w:tc>
        <w:tc>
          <w:tcPr>
            <w:tcW w:w="114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本年废止件数</w:t>
            </w:r>
          </w:p>
        </w:tc>
        <w:tc>
          <w:tcPr>
            <w:tcW w:w="124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规章</w:t>
            </w:r>
          </w:p>
        </w:tc>
        <w:tc>
          <w:tcPr>
            <w:tcW w:w="114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val="en-US" w:eastAsia="zh-CN"/>
              </w:rPr>
              <w:t>0</w:t>
            </w:r>
          </w:p>
        </w:tc>
        <w:tc>
          <w:tcPr>
            <w:tcW w:w="114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c>
          <w:tcPr>
            <w:tcW w:w="124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行政规范性文件</w:t>
            </w:r>
          </w:p>
        </w:tc>
        <w:tc>
          <w:tcPr>
            <w:tcW w:w="114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lang w:eastAsia="zh-CN"/>
              </w:rPr>
            </w:pPr>
            <w:r>
              <w:rPr>
                <w:rFonts w:hint="default" w:ascii="Times New Roman" w:hAnsi="Times New Roman" w:eastAsia="黑体" w:cs="Times New Roman"/>
                <w:color w:val="000000"/>
                <w:kern w:val="0"/>
                <w:szCs w:val="21"/>
                <w:lang w:val="en-US" w:eastAsia="zh-CN"/>
              </w:rPr>
              <w:t>0</w:t>
            </w:r>
          </w:p>
        </w:tc>
        <w:tc>
          <w:tcPr>
            <w:tcW w:w="1147"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c>
          <w:tcPr>
            <w:tcW w:w="1243" w:type="pct"/>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方正仿宋简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146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信息内容</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146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行政许可</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方正仿宋简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信息内容</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行政处罚</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行政强制</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方正仿宋简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信息内容</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146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行政事业性收费</w:t>
            </w:r>
          </w:p>
        </w:tc>
        <w:tc>
          <w:tcPr>
            <w:tcW w:w="3539"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黑体" w:cs="Times New Roman"/>
                <w:color w:val="000000"/>
                <w:kern w:val="0"/>
                <w:szCs w:val="21"/>
                <w:lang w:val="en-US" w:eastAsia="zh-CN"/>
              </w:rPr>
            </w:pPr>
            <w:r>
              <w:rPr>
                <w:rFonts w:hint="default" w:ascii="Times New Roman" w:hAnsi="Times New Roman" w:eastAsia="黑体" w:cs="Times New Roman"/>
                <w:color w:val="000000"/>
                <w:kern w:val="0"/>
                <w:szCs w:val="21"/>
                <w:lang w:val="en-US" w:eastAsia="zh-CN"/>
              </w:rPr>
              <w:t>0</w:t>
            </w:r>
          </w:p>
        </w:tc>
      </w:tr>
    </w:tbl>
    <w:p>
      <w:pPr>
        <w:pStyle w:val="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leftChars="0" w:right="0" w:rightChars="0" w:firstLine="643" w:firstLineChars="200"/>
        <w:textAlignment w:val="auto"/>
        <w:rPr>
          <w:rFonts w:hint="default" w:ascii="Times New Roman" w:hAnsi="Times New Roman" w:eastAsia="黑体" w:cs="Times New Roman"/>
          <w:b/>
          <w:bCs/>
          <w:i w:val="0"/>
          <w:caps w:val="0"/>
          <w:color w:val="auto"/>
          <w:spacing w:val="0"/>
          <w:sz w:val="32"/>
          <w:szCs w:val="32"/>
          <w:shd w:val="clear" w:color="auto" w:fill="FFFFFF"/>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（本列数据的勾稽关系为：第一项加第二项之和，</w:t>
            </w:r>
          </w:p>
          <w:p>
            <w:pPr>
              <w:widowControl/>
              <w:spacing w:line="320" w:lineRule="exact"/>
              <w:jc w:val="center"/>
              <w:rPr>
                <w:rFonts w:hint="default" w:ascii="Times New Roman" w:hAnsi="Times New Roman" w:eastAsia="仿宋_GB2312" w:cs="Times New Roman"/>
                <w:szCs w:val="21"/>
              </w:rPr>
            </w:pPr>
            <w:r>
              <w:rPr>
                <w:rFonts w:hint="default" w:ascii="Times New Roman" w:hAnsi="Times New Roman" w:eastAsia="黑体"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1.属于国家秘密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2.其他法律行政法规禁止公开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3.危及“三安全一稳定”</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4.保护第三方合法权益</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5.属于三类内部事务信息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6.属于四类过程性信息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7.属于行政执法案卷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8.属于行政查询事项</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2.没有现成信息需要另行制作</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3.补正后申请内容仍不明确</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1.信访举报投诉类申请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2.重复申请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3.要求提供公开出版物</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4.无正当理由大量反复申请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rPr>
              <w:t>5.要求行政机关确认或重新</w:t>
            </w:r>
          </w:p>
          <w:p>
            <w:pPr>
              <w:widowControl/>
              <w:spacing w:line="300" w:lineRule="exact"/>
              <w:ind w:firstLine="200" w:firstLineChars="100"/>
              <w:rPr>
                <w:rFonts w:hint="default" w:ascii="Times New Roman" w:hAnsi="Times New Roman" w:eastAsia="仿宋_GB2312" w:cs="Times New Roman"/>
                <w:sz w:val="20"/>
                <w:szCs w:val="20"/>
              </w:rPr>
            </w:pPr>
            <w:r>
              <w:rPr>
                <w:rFonts w:hint="default" w:ascii="Times New Roman" w:hAnsi="Times New Roman" w:eastAsia="仿宋_GB2312" w:cs="Times New Roman"/>
                <w:kern w:val="0"/>
                <w:sz w:val="20"/>
                <w:szCs w:val="20"/>
              </w:rPr>
              <w:t>出具已获取信息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sz w:val="20"/>
                <w:szCs w:val="22"/>
              </w:rPr>
            </w:pPr>
            <w:r>
              <w:rPr>
                <w:rFonts w:hint="default" w:ascii="Times New Roman" w:hAnsi="Times New Roman" w:eastAsia="仿宋_GB2312" w:cs="Times New Roman"/>
                <w:sz w:val="20"/>
                <w:szCs w:val="2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 w:val="20"/>
                <w:szCs w:val="20"/>
              </w:rPr>
            </w:pPr>
            <w:r>
              <w:rPr>
                <w:rFonts w:hint="default" w:ascii="Times New Roman" w:hAnsi="Times New Roman" w:eastAsia="仿宋_GB2312" w:cs="Times New Roman"/>
                <w:sz w:val="20"/>
                <w:szCs w:val="22"/>
              </w:rPr>
              <w:t>3.其他</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bl>
    <w:p>
      <w:pPr>
        <w:pStyle w:val="2"/>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left="0" w:leftChars="0" w:right="0" w:rightChars="0" w:firstLine="643" w:firstLineChars="200"/>
        <w:textAlignment w:val="auto"/>
        <w:rPr>
          <w:rFonts w:hint="default" w:ascii="Times New Roman" w:hAnsi="Times New Roman" w:eastAsia="黑体" w:cs="Times New Roman"/>
          <w:b/>
          <w:bCs/>
          <w:i w:val="0"/>
          <w:caps w:val="0"/>
          <w:color w:val="auto"/>
          <w:spacing w:val="0"/>
          <w:sz w:val="32"/>
          <w:szCs w:val="32"/>
          <w:shd w:val="clear" w:color="auto" w:fill="FFFFFF"/>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政府信息公开行政复议、行政诉讼情况</w:t>
      </w:r>
    </w:p>
    <w:tbl>
      <w:tblPr>
        <w:tblStyle w:val="3"/>
        <w:tblW w:w="98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60"/>
        <w:gridCol w:w="604"/>
        <w:gridCol w:w="604"/>
        <w:gridCol w:w="604"/>
        <w:gridCol w:w="658"/>
        <w:gridCol w:w="550"/>
        <w:gridCol w:w="605"/>
        <w:gridCol w:w="605"/>
        <w:gridCol w:w="605"/>
        <w:gridCol w:w="605"/>
        <w:gridCol w:w="605"/>
        <w:gridCol w:w="605"/>
        <w:gridCol w:w="605"/>
        <w:gridCol w:w="606"/>
        <w:gridCol w:w="8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630" w:type="dxa"/>
            <w:gridSpan w:val="5"/>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6215" w:type="dxa"/>
            <w:gridSpan w:val="10"/>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1160" w:type="dxa"/>
            <w:vMerge w:val="restart"/>
            <w:tcBorders>
              <w:top w:val="single" w:color="000000" w:sz="4" w:space="0"/>
              <w:left w:val="single" w:color="000000" w:sz="4" w:space="0"/>
              <w:bottom w:val="nil"/>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single" w:color="000000" w:sz="4" w:space="0"/>
              <w:left w:val="nil"/>
              <w:bottom w:val="nil"/>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000000" w:sz="4" w:space="0"/>
              <w:left w:val="nil"/>
              <w:bottom w:val="nil"/>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000000" w:sz="4" w:space="0"/>
              <w:left w:val="nil"/>
              <w:bottom w:val="nil"/>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000000" w:sz="4" w:space="0"/>
              <w:left w:val="nil"/>
              <w:bottom w:val="nil"/>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000000" w:sz="4" w:space="0"/>
              <w:left w:val="nil"/>
              <w:bottom w:val="nil"/>
              <w:right w:val="single" w:color="000000" w:sz="4"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245" w:type="dxa"/>
            <w:gridSpan w:val="5"/>
            <w:tcBorders>
              <w:top w:val="single" w:color="auto" w:sz="4" w:space="0"/>
              <w:left w:val="single" w:color="000000" w:sz="4" w:space="0"/>
              <w:bottom w:val="single" w:color="auto" w:sz="8"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1160" w:type="dxa"/>
            <w:vMerge w:val="continue"/>
            <w:tcBorders>
              <w:top w:val="nil"/>
              <w:left w:val="single" w:color="000000" w:sz="4" w:space="0"/>
              <w:bottom w:val="single" w:color="000000" w:sz="4"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000000" w:sz="4"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000000" w:sz="4"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000000" w:sz="4"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nil"/>
              <w:left w:val="nil"/>
              <w:bottom w:val="single" w:color="000000" w:sz="4"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000000" w:sz="4"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000000" w:sz="4" w:space="0"/>
              <w:right w:val="single" w:color="000000" w:sz="4"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single" w:color="000000" w:sz="4" w:space="0"/>
              <w:bottom w:val="single" w:color="auto" w:sz="4" w:space="0"/>
              <w:right w:val="single" w:color="auto" w:sz="4"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824" w:type="dxa"/>
            <w:tcBorders>
              <w:top w:val="single" w:color="auto" w:sz="8" w:space="0"/>
              <w:left w:val="nil"/>
              <w:bottom w:val="single" w:color="auto" w:sz="4" w:space="0"/>
              <w:right w:val="single" w:color="auto" w:sz="4"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60" w:type="dxa"/>
            <w:tcBorders>
              <w:top w:val="single" w:color="000000"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single" w:color="000000"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single" w:color="000000"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single" w:color="000000"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58" w:type="dxa"/>
            <w:tcBorders>
              <w:top w:val="single" w:color="000000"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550" w:type="dxa"/>
            <w:tcBorders>
              <w:top w:val="single" w:color="000000"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000000"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82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default" w:ascii="Times New Roman" w:hAnsi="Times New Roman" w:eastAsia="黑体" w:cs="Times New Roman"/>
          <w:b/>
          <w:bCs/>
          <w:i w:val="0"/>
          <w:caps w:val="0"/>
          <w:color w:val="auto"/>
          <w:spacing w:val="0"/>
          <w:sz w:val="32"/>
          <w:szCs w:val="32"/>
          <w:shd w:val="clear" w:color="auto" w:fill="FFFFFF"/>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五、存在的主要问题及改进情况</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（一）工作中存在的主要问题。</w:t>
      </w:r>
      <w:r>
        <w:rPr>
          <w:rFonts w:hint="default" w:ascii="Times New Roman" w:hAnsi="Times New Roman" w:eastAsia="仿宋" w:cs="Times New Roman"/>
          <w:b/>
          <w:bCs/>
          <w:i w:val="0"/>
          <w:caps w:val="0"/>
          <w:color w:val="auto"/>
          <w:spacing w:val="0"/>
          <w:sz w:val="32"/>
          <w:szCs w:val="32"/>
          <w:shd w:val="clear" w:color="auto" w:fill="FFFFFF"/>
          <w:lang w:val="en-US" w:eastAsia="zh-CN"/>
        </w:rPr>
        <w:t>一是政府信息公开培训较少，不利于更好地推动工作；二是依申请公开精准答复和服务方面还需进一步加强。</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Times New Roman" w:hAnsi="Times New Roman" w:eastAsia="仿宋" w:cs="Times New Roman"/>
          <w:b/>
          <w:bCs/>
          <w:i w:val="0"/>
          <w:caps w:val="0"/>
          <w:color w:val="auto"/>
          <w:spacing w:val="0"/>
          <w:sz w:val="32"/>
          <w:szCs w:val="32"/>
          <w:shd w:val="clear" w:color="auto" w:fill="FFFFFF"/>
          <w:lang w:val="en-US" w:eastAsia="zh-CN"/>
        </w:rPr>
      </w:pPr>
      <w:r>
        <w:rPr>
          <w:rFonts w:hint="default" w:ascii="Times New Roman" w:hAnsi="Times New Roman" w:eastAsia="楷体" w:cs="Times New Roman"/>
          <w:b/>
          <w:bCs/>
          <w:i w:val="0"/>
          <w:caps w:val="0"/>
          <w:color w:val="auto"/>
          <w:spacing w:val="0"/>
          <w:sz w:val="32"/>
          <w:szCs w:val="32"/>
          <w:shd w:val="clear" w:color="auto" w:fill="FFFFFF"/>
          <w:lang w:val="en-US" w:eastAsia="zh-CN"/>
        </w:rPr>
        <w:t>（二）解决办法和改进措施。</w:t>
      </w:r>
      <w:r>
        <w:rPr>
          <w:rFonts w:hint="default" w:ascii="Times New Roman" w:hAnsi="Times New Roman" w:eastAsia="仿宋" w:cs="Times New Roman"/>
          <w:b/>
          <w:bCs/>
          <w:i w:val="0"/>
          <w:caps w:val="0"/>
          <w:color w:val="auto"/>
          <w:spacing w:val="0"/>
          <w:sz w:val="32"/>
          <w:szCs w:val="32"/>
          <w:shd w:val="clear" w:color="auto" w:fill="FFFFFF"/>
          <w:lang w:val="en-US" w:eastAsia="zh-CN"/>
        </w:rPr>
        <w:t>下一步，县统计局将继续加大政府信息公开工作力度。一是第一时间梳理更新有关公开信息，创新数据解读方式，提升政务公开质量。二是组织政务公开培训，提升业务人员工作水平，推进</w:t>
      </w:r>
      <w:r>
        <w:rPr>
          <w:rFonts w:hint="eastAsia" w:ascii="Times New Roman" w:hAnsi="Times New Roman" w:eastAsia="仿宋" w:cs="Times New Roman"/>
          <w:b/>
          <w:bCs/>
          <w:i w:val="0"/>
          <w:caps w:val="0"/>
          <w:color w:val="auto"/>
          <w:spacing w:val="0"/>
          <w:sz w:val="32"/>
          <w:szCs w:val="32"/>
          <w:shd w:val="clear" w:color="auto" w:fill="FFFFFF"/>
          <w:lang w:val="en-US" w:eastAsia="zh-CN"/>
        </w:rPr>
        <w:t>县统计</w:t>
      </w:r>
      <w:r>
        <w:rPr>
          <w:rFonts w:hint="default" w:ascii="Times New Roman" w:hAnsi="Times New Roman" w:eastAsia="仿宋" w:cs="Times New Roman"/>
          <w:b/>
          <w:bCs/>
          <w:i w:val="0"/>
          <w:caps w:val="0"/>
          <w:color w:val="auto"/>
          <w:spacing w:val="0"/>
          <w:sz w:val="32"/>
          <w:szCs w:val="32"/>
          <w:shd w:val="clear" w:color="auto" w:fill="FFFFFF"/>
          <w:lang w:val="en-US" w:eastAsia="zh-CN"/>
        </w:rPr>
        <w:t>局政府信息公开工作再上新台阶。</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ind w:right="0" w:rightChars="0" w:firstLine="643" w:firstLineChars="200"/>
        <w:textAlignment w:val="auto"/>
        <w:rPr>
          <w:rFonts w:hint="default" w:ascii="Times New Roman" w:hAnsi="Times New Roman" w:eastAsia="黑体" w:cs="Times New Roman"/>
          <w:b/>
          <w:bCs/>
          <w:i w:val="0"/>
          <w:caps w:val="0"/>
          <w:color w:val="auto"/>
          <w:spacing w:val="0"/>
          <w:sz w:val="32"/>
          <w:szCs w:val="32"/>
          <w:shd w:val="clear" w:color="auto" w:fill="FFFFFF"/>
          <w:lang w:eastAsia="zh-CN"/>
        </w:rPr>
      </w:pPr>
      <w:r>
        <w:rPr>
          <w:rFonts w:hint="default" w:ascii="Times New Roman" w:hAnsi="Times New Roman" w:eastAsia="黑体" w:cs="Times New Roman"/>
          <w:b/>
          <w:bCs/>
          <w:i w:val="0"/>
          <w:caps w:val="0"/>
          <w:color w:val="auto"/>
          <w:spacing w:val="0"/>
          <w:sz w:val="32"/>
          <w:szCs w:val="32"/>
          <w:shd w:val="clear" w:color="auto" w:fill="FFFFFF"/>
          <w:lang w:eastAsia="zh-CN"/>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ascii="sans-serif" w:hAnsi="sans-serif" w:eastAsia="sans-serif" w:cs="sans-serif"/>
          <w:i w:val="0"/>
          <w:iCs w:val="0"/>
          <w:caps w:val="0"/>
          <w:color w:val="000000"/>
          <w:spacing w:val="0"/>
          <w:sz w:val="27"/>
          <w:szCs w:val="27"/>
        </w:rPr>
      </w:pPr>
      <w:r>
        <w:rPr>
          <w:rStyle w:val="5"/>
          <w:rFonts w:ascii="仿宋" w:hAnsi="仿宋" w:eastAsia="仿宋" w:cs="仿宋"/>
          <w:i w:val="0"/>
          <w:iCs w:val="0"/>
          <w:caps w:val="0"/>
          <w:color w:val="000000"/>
          <w:spacing w:val="0"/>
          <w:sz w:val="31"/>
          <w:szCs w:val="31"/>
          <w:bdr w:val="none" w:color="auto" w:sz="0" w:space="0"/>
          <w:shd w:val="clear" w:fill="FFFFFF"/>
        </w:rPr>
        <w:t>（一）依据《政府信息公开信息处理费管理办法》收取信息处理费的情况：无。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shd w:val="clear" w:fill="FFFFFF"/>
        </w:rPr>
        <w:t>（二）落实上级年度政务公开工作要点情况：县统计局严格按照县政府安排部署，落实各项工作任务，将统计领域信息及时有效公开。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shd w:val="clear" w:fill="FFFFFF"/>
        </w:rPr>
        <w:t>（三）人大代表建议和政协提案办理结果公开情况：2023年度未收到人大代表建议和政协提案。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shd w:val="clear" w:fill="FFFFFF"/>
        </w:rPr>
        <w:t>（四）政府信息公开工作年度报告数据统计需要说明的事项：无。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shd w:val="clear" w:fill="FFFFFF"/>
        </w:rPr>
        <w:t>（五）需要报告的其他事项：无。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bdr w:val="none" w:color="auto" w:sz="0" w:space="0"/>
          <w:shd w:val="clear" w:fill="FFFFFF"/>
        </w:rPr>
        <w:t>（六）其他有关文件专门要求通过政府信息公开工作年度报告予以报告的事项：无。</w:t>
      </w:r>
      <w:bookmarkStart w:id="0" w:name="_GoBack"/>
      <w:bookmarkEnd w:id="0"/>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240" w:lineRule="auto"/>
        <w:ind w:right="0" w:rightChars="0" w:firstLine="480" w:firstLineChars="200"/>
        <w:jc w:val="both"/>
        <w:textAlignment w:val="auto"/>
        <w:rPr>
          <w:rFonts w:hint="default" w:ascii="Times New Roman" w:hAnsi="Times New Roman" w:cs="Times New Roma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8E9E8"/>
    <w:multiLevelType w:val="singleLevel"/>
    <w:tmpl w:val="57F8E9E8"/>
    <w:lvl w:ilvl="0" w:tentative="0">
      <w:start w:val="2"/>
      <w:numFmt w:val="chineseCounting"/>
      <w:suff w:val="nothing"/>
      <w:lvlText w:val="%1、"/>
      <w:lvlJc w:val="left"/>
      <w:rPr>
        <w:rFonts w:hint="eastAsia"/>
      </w:rPr>
    </w:lvl>
  </w:abstractNum>
  <w:abstractNum w:abstractNumId="1">
    <w:nsid w:val="60488CE9"/>
    <w:multiLevelType w:val="singleLevel"/>
    <w:tmpl w:val="60488CE9"/>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zBkZDM1ZmY2MDlmZDgzMDk4ZDRmN2E3ODg0ZDQifQ=="/>
    <w:docVar w:name="KSO_WPS_MARK_KEY" w:val="4a2bea4c-b5bf-4676-9840-5495185c701c"/>
  </w:docVars>
  <w:rsids>
    <w:rsidRoot w:val="371468DE"/>
    <w:rsid w:val="009C512B"/>
    <w:rsid w:val="00F40DE5"/>
    <w:rsid w:val="024C492F"/>
    <w:rsid w:val="03C07382"/>
    <w:rsid w:val="03EE3423"/>
    <w:rsid w:val="04403880"/>
    <w:rsid w:val="04541BAA"/>
    <w:rsid w:val="04695C6C"/>
    <w:rsid w:val="049C1A21"/>
    <w:rsid w:val="07B15780"/>
    <w:rsid w:val="089E209B"/>
    <w:rsid w:val="09E0252C"/>
    <w:rsid w:val="0DE34399"/>
    <w:rsid w:val="146D0E60"/>
    <w:rsid w:val="14961A2A"/>
    <w:rsid w:val="1575286D"/>
    <w:rsid w:val="16301EEC"/>
    <w:rsid w:val="16E90CC4"/>
    <w:rsid w:val="1AC701FB"/>
    <w:rsid w:val="1DB00010"/>
    <w:rsid w:val="1E8F2ED4"/>
    <w:rsid w:val="1E974885"/>
    <w:rsid w:val="1F185E6D"/>
    <w:rsid w:val="2081550E"/>
    <w:rsid w:val="256040C9"/>
    <w:rsid w:val="25954FB8"/>
    <w:rsid w:val="269C77A1"/>
    <w:rsid w:val="27960E9F"/>
    <w:rsid w:val="28495E32"/>
    <w:rsid w:val="29C14319"/>
    <w:rsid w:val="2A936FAF"/>
    <w:rsid w:val="2C366D54"/>
    <w:rsid w:val="2C55425C"/>
    <w:rsid w:val="2C86492D"/>
    <w:rsid w:val="2D6A5038"/>
    <w:rsid w:val="2E913C08"/>
    <w:rsid w:val="2F230642"/>
    <w:rsid w:val="2F7A2B71"/>
    <w:rsid w:val="2FD83A96"/>
    <w:rsid w:val="303A37EF"/>
    <w:rsid w:val="31AA329C"/>
    <w:rsid w:val="32E25C27"/>
    <w:rsid w:val="33395A5B"/>
    <w:rsid w:val="339064C2"/>
    <w:rsid w:val="33BA48F9"/>
    <w:rsid w:val="35F666EE"/>
    <w:rsid w:val="371468DE"/>
    <w:rsid w:val="3C4C5CC1"/>
    <w:rsid w:val="3EDF7520"/>
    <w:rsid w:val="3FFC1EEE"/>
    <w:rsid w:val="40104C12"/>
    <w:rsid w:val="45F75F2C"/>
    <w:rsid w:val="46157C4D"/>
    <w:rsid w:val="47A263DD"/>
    <w:rsid w:val="4B763254"/>
    <w:rsid w:val="4D221AE1"/>
    <w:rsid w:val="4E514410"/>
    <w:rsid w:val="4F02135A"/>
    <w:rsid w:val="4F9B57C5"/>
    <w:rsid w:val="51747033"/>
    <w:rsid w:val="52C06A85"/>
    <w:rsid w:val="53865439"/>
    <w:rsid w:val="541F1C96"/>
    <w:rsid w:val="557D0918"/>
    <w:rsid w:val="55B91F7B"/>
    <w:rsid w:val="56D43D98"/>
    <w:rsid w:val="576158FB"/>
    <w:rsid w:val="59FB64AA"/>
    <w:rsid w:val="5B2C3611"/>
    <w:rsid w:val="5C4B1E59"/>
    <w:rsid w:val="5C986458"/>
    <w:rsid w:val="5DB24AB3"/>
    <w:rsid w:val="5DDB1C08"/>
    <w:rsid w:val="5FFC2092"/>
    <w:rsid w:val="60793BF1"/>
    <w:rsid w:val="615761E1"/>
    <w:rsid w:val="63C705B2"/>
    <w:rsid w:val="68BC45FF"/>
    <w:rsid w:val="68FD1524"/>
    <w:rsid w:val="6A1A10E3"/>
    <w:rsid w:val="6AD36247"/>
    <w:rsid w:val="6BFC4EB7"/>
    <w:rsid w:val="6C536793"/>
    <w:rsid w:val="6D7952F5"/>
    <w:rsid w:val="6EB64F8D"/>
    <w:rsid w:val="6FD90975"/>
    <w:rsid w:val="70381208"/>
    <w:rsid w:val="71165FAF"/>
    <w:rsid w:val="72AB5C1E"/>
    <w:rsid w:val="743A21F9"/>
    <w:rsid w:val="75C87080"/>
    <w:rsid w:val="75F44C74"/>
    <w:rsid w:val="764221C2"/>
    <w:rsid w:val="7677439C"/>
    <w:rsid w:val="77766031"/>
    <w:rsid w:val="77D23F80"/>
    <w:rsid w:val="77D32E7D"/>
    <w:rsid w:val="781B56EB"/>
    <w:rsid w:val="782B4E4C"/>
    <w:rsid w:val="78B2753E"/>
    <w:rsid w:val="79043956"/>
    <w:rsid w:val="7A1359FD"/>
    <w:rsid w:val="7A9758B0"/>
    <w:rsid w:val="7B4927AB"/>
    <w:rsid w:val="7C2362D3"/>
    <w:rsid w:val="7CB654E1"/>
    <w:rsid w:val="7CCE5DAC"/>
    <w:rsid w:val="7DEF0DFD"/>
    <w:rsid w:val="7F591669"/>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21150;&#20844;&#23460;&#24037;&#20316;\&#25919;&#21153;&#20844;&#24320;\&#25919;&#24220;&#20449;&#24687;&#20844;&#24320;&#24037;&#20316;&#24180;&#24230;&#25253;&#21578;\2023\&#20027;&#21160;&#20844;&#24320;&#20449;&#246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主动公开情况</a:t>
            </a:r>
            <a:endParaRPr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196509009009009"/>
          <c:y val="0.111190539224979"/>
          <c:w val="0.596058558558559"/>
          <c:h val="0.923734729493892"/>
        </c:manualLayout>
      </c:layout>
      <c:pieChart>
        <c:varyColors val="1"/>
        <c:ser>
          <c:idx val="0"/>
          <c:order val="0"/>
          <c:tx>
            <c:strRef>
              <c:f>[主动公开信息.xlsx]Sheet1!$C$3</c:f>
              <c:strCache>
                <c:ptCount val="1"/>
                <c:pt idx="0">
                  <c:v>数量（条）</c:v>
                </c:pt>
              </c:strCache>
            </c:strRef>
          </c:tx>
          <c:spPr>
            <a:solidFill>
              <a:srgbClr val="63B1EF">
                <a:alpha val="67000"/>
              </a:srgbClr>
            </a:solidFill>
            <a:ln w="19050" cap="rnd">
              <a:noFill/>
              <a:round/>
            </a:ln>
            <a:effectLst/>
          </c:spPr>
          <c:explosion val="0"/>
          <c:dPt>
            <c:idx val="0"/>
            <c:bubble3D val="0"/>
            <c:spPr>
              <a:gradFill>
                <a:gsLst>
                  <a:gs pos="0">
                    <a:srgbClr val="14CD68"/>
                  </a:gs>
                  <a:gs pos="100000">
                    <a:srgbClr val="0B6E38"/>
                  </a:gs>
                </a:gsLst>
                <a:lin scaled="0"/>
              </a:gradFill>
              <a:ln w="19050" cap="rnd">
                <a:noFill/>
                <a:round/>
              </a:ln>
              <a:effectLst/>
            </c:spPr>
          </c:dPt>
          <c:dPt>
            <c:idx val="1"/>
            <c:bubble3D val="0"/>
            <c:spPr>
              <a:solidFill>
                <a:srgbClr val="00B0F0"/>
              </a:solidFill>
              <a:ln w="19050" cap="rnd">
                <a:noFill/>
                <a:round/>
              </a:ln>
              <a:effectLst/>
            </c:spPr>
          </c:dPt>
          <c:dPt>
            <c:idx val="2"/>
            <c:bubble3D val="0"/>
            <c:spPr>
              <a:solidFill>
                <a:srgbClr val="FB7E72">
                  <a:alpha val="67000"/>
                </a:srgbClr>
              </a:solidFill>
              <a:ln w="19050" cap="rnd">
                <a:noFill/>
                <a:round/>
              </a:ln>
              <a:effectLst/>
            </c:spPr>
          </c:dPt>
          <c:dPt>
            <c:idx val="3"/>
            <c:bubble3D val="0"/>
            <c:spPr>
              <a:solidFill>
                <a:srgbClr val="F8AC41">
                  <a:alpha val="67000"/>
                </a:srgbClr>
              </a:solidFill>
              <a:ln w="19050" cap="rnd">
                <a:noFill/>
                <a:round/>
              </a:ln>
              <a:effectLst/>
            </c:spPr>
          </c:dPt>
          <c:dPt>
            <c:idx val="4"/>
            <c:bubble3D val="0"/>
            <c:spPr>
              <a:gradFill>
                <a:gsLst>
                  <a:gs pos="50000">
                    <a:srgbClr val="F186AB"/>
                  </a:gs>
                  <a:gs pos="0">
                    <a:srgbClr val="F4ADC5"/>
                  </a:gs>
                  <a:gs pos="100000">
                    <a:srgbClr val="EE5F90"/>
                  </a:gs>
                </a:gsLst>
                <a:lin ang="5400000" scaled="1"/>
              </a:gradFill>
              <a:ln w="19050" cap="rnd">
                <a:noFill/>
                <a:round/>
              </a:ln>
              <a:effectLst/>
            </c:spPr>
          </c:dPt>
          <c:dPt>
            <c:idx val="5"/>
            <c:bubble3D val="0"/>
            <c:spPr>
              <a:solidFill>
                <a:srgbClr val="63B1EF">
                  <a:alpha val="67000"/>
                </a:srgbClr>
              </a:solidFill>
              <a:ln w="19050" cap="rnd">
                <a:noFill/>
                <a:round/>
              </a:ln>
              <a:effectLst/>
            </c:spPr>
          </c:dPt>
          <c:dPt>
            <c:idx val="6"/>
            <c:bubble3D val="0"/>
            <c:spPr>
              <a:gradFill>
                <a:gsLst>
                  <a:gs pos="50000">
                    <a:srgbClr val="ECCFCB"/>
                  </a:gs>
                  <a:gs pos="0">
                    <a:srgbClr val="F2DFDC"/>
                  </a:gs>
                  <a:gs pos="100000">
                    <a:srgbClr val="E5BEB9"/>
                  </a:gs>
                </a:gsLst>
                <a:lin ang="5400000" scaled="1"/>
              </a:gradFill>
              <a:ln w="19050" cap="rnd">
                <a:noFill/>
                <a:round/>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1"/>
              <c:showSerName val="0"/>
              <c:showPercent val="1"/>
              <c:showBubbleSize val="0"/>
              <c:extLst>
                <c:ext xmlns:c15="http://schemas.microsoft.com/office/drawing/2012/chart" uri="{CE6537A1-D6FC-4f65-9D91-7224C49458BB}"/>
              </c:extLst>
            </c:dLbl>
            <c:dLbl>
              <c:idx val="1"/>
              <c:layout>
                <c:manualLayout>
                  <c:x val="-0.0998487483857879"/>
                  <c:y val="-0.14888449647218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125225626504645"/>
                  <c:y val="-0.0090698541992409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0280677338764772"/>
                  <c:y val="-0.13012539746861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bestFit"/>
              <c:showLegendKey val="0"/>
              <c:showVal val="1"/>
              <c:showCatName val="1"/>
              <c:showSerName val="0"/>
              <c:showPercent val="1"/>
              <c:showBubbleSize val="0"/>
              <c:extLst>
                <c:ext xmlns:c15="http://schemas.microsoft.com/office/drawing/2012/chart" uri="{CE6537A1-D6FC-4f65-9D91-7224C49458BB}">
                  <c15:layout>
                    <c:manualLayout>
                      <c:w val="0.156490275893261"/>
                      <c:h val="0.0992468619246862"/>
                    </c:manualLayout>
                  </c15:layout>
                </c:ext>
              </c:extLst>
            </c:dLbl>
            <c:dLbl>
              <c:idx val="4"/>
              <c:layout>
                <c:manualLayout>
                  <c:x val="0.0135997169673651"/>
                  <c:y val="-0.0091402917694530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224229903772371"/>
                  <c:y val="0.027301888306697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0801398843915109"/>
                  <c:y val="0.16262593246827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[主动公开信息.xlsx]Sheet1!$B$4:$B$10</c:f>
              <c:strCache>
                <c:ptCount val="7"/>
                <c:pt idx="0">
                  <c:v>会议公开</c:v>
                </c:pt>
                <c:pt idx="1">
                  <c:v>统计信息</c:v>
                </c:pt>
                <c:pt idx="2">
                  <c:v>政府集中采购</c:v>
                </c:pt>
                <c:pt idx="3">
                  <c:v>行政权力</c:v>
                </c:pt>
                <c:pt idx="4">
                  <c:v>基层标准化建设</c:v>
                </c:pt>
                <c:pt idx="5">
                  <c:v>部门工作动态</c:v>
                </c:pt>
                <c:pt idx="6">
                  <c:v>数据开放</c:v>
                </c:pt>
              </c:strCache>
            </c:strRef>
          </c:cat>
          <c:val>
            <c:numRef>
              <c:f>[主动公开信息.xlsx]Sheet1!$C$4:$C$10</c:f>
              <c:numCache>
                <c:formatCode>General</c:formatCode>
                <c:ptCount val="7"/>
                <c:pt idx="0">
                  <c:v>28</c:v>
                </c:pt>
                <c:pt idx="1">
                  <c:v>9</c:v>
                </c:pt>
                <c:pt idx="2">
                  <c:v>1</c:v>
                </c:pt>
                <c:pt idx="3">
                  <c:v>6</c:v>
                </c:pt>
                <c:pt idx="4">
                  <c:v>1</c:v>
                </c:pt>
                <c:pt idx="5">
                  <c:v>30</c:v>
                </c:pt>
                <c:pt idx="6">
                  <c:v>11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l"/>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3"/>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4"/>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11.1">
    <a:dk1>
      <a:srgbClr val="000000"/>
    </a:dk1>
    <a:lt1>
      <a:srgbClr val="FFFFFF"/>
    </a:lt1>
    <a:dk2>
      <a:srgbClr val="0C0E1F"/>
    </a:dk2>
    <a:lt2>
      <a:srgbClr val="FEFFFF"/>
    </a:lt2>
    <a:accent1>
      <a:srgbClr val="4F81FF"/>
    </a:accent1>
    <a:accent2>
      <a:srgbClr val="16CC8A"/>
    </a:accent2>
    <a:accent3>
      <a:srgbClr val="FFC619"/>
    </a:accent3>
    <a:accent4>
      <a:srgbClr val="FF8041"/>
    </a:accent4>
    <a:accent5>
      <a:srgbClr val="F95F5F"/>
    </a:accent5>
    <a:accent6>
      <a:srgbClr val="A15CFF"/>
    </a:accent6>
    <a:hlink>
      <a:srgbClr val="304FFE"/>
    </a:hlink>
    <a:folHlink>
      <a:srgbClr val="49206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2337</Words>
  <Characters>2426</Characters>
  <Lines>0</Lines>
  <Paragraphs>0</Paragraphs>
  <TotalTime>0</TotalTime>
  <ScaleCrop>false</ScaleCrop>
  <LinksUpToDate>false</LinksUpToDate>
  <CharactersWithSpaces>2426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2022-01-04T07:16:00Z</dcterms:created>
  <dc:creator>巷尾的梧桐ᥫᩣ</dc:creator>
  <cp:lastModifiedBy>ZMJ</cp:lastModifiedBy>
  <cp:lastPrinted>2022-01-18T10:33:00Z</cp:lastPrinted>
  <dcterms:modified xsi:type="dcterms:W3CDTF">2024-03-01T05:51:21Z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4FFB3FF7FA844C5292844333956A4C68</vt:lpwstr>
  </property>
</Properties>
</file>