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微山县卫生健康局2022年政府信息公开</w:t>
      </w:r>
    </w:p>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lang w:val="en-US" w:eastAsia="zh-CN"/>
        </w:rPr>
        <w:t>工作年度报告</w:t>
      </w:r>
    </w:p>
    <w:p>
      <w:pPr>
        <w:rPr>
          <w:rFonts w:hint="eastAsia" w:ascii="仿宋" w:hAnsi="仿宋" w:eastAsia="仿宋" w:cs="仿宋"/>
          <w:sz w:val="32"/>
          <w:szCs w:val="32"/>
        </w:rPr>
      </w:pPr>
    </w:p>
    <w:p>
      <w:pPr>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本报告由微山县卫生健康局按照《中华人民共和国政府信息公开条例》（以下简称《条例》）和《中华人民共和国政府信息公开工作年度报告格式》（国办公开办函〔2021〕30号）要求编制。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本报告所列数据的统计期限自</w:t>
      </w:r>
      <w:r>
        <w:rPr>
          <w:rFonts w:ascii="仿宋" w:hAnsi="仿宋" w:eastAsia="仿宋" w:cs="仿宋"/>
          <w:i w:val="0"/>
          <w:iCs w:val="0"/>
          <w:caps w:val="0"/>
          <w:color w:val="333333"/>
          <w:spacing w:val="0"/>
          <w:sz w:val="31"/>
          <w:szCs w:val="31"/>
        </w:rPr>
        <w:t>202</w:t>
      </w:r>
      <w:r>
        <w:rPr>
          <w:rFonts w:hint="eastAsia" w:ascii="仿宋" w:hAnsi="仿宋" w:eastAsia="仿宋" w:cs="仿宋"/>
          <w:i w:val="0"/>
          <w:iCs w:val="0"/>
          <w:caps w:val="0"/>
          <w:color w:val="333333"/>
          <w:spacing w:val="0"/>
          <w:sz w:val="31"/>
          <w:szCs w:val="31"/>
        </w:rPr>
        <w:t>2年1月1日起至2022年12月31日止</w:t>
      </w:r>
      <w:r>
        <w:rPr>
          <w:rFonts w:hint="eastAsia" w:ascii="仿宋" w:hAnsi="仿宋" w:eastAsia="仿宋" w:cs="仿宋"/>
          <w:i w:val="0"/>
          <w:iCs w:val="0"/>
          <w:caps w:val="0"/>
          <w:color w:val="333333"/>
          <w:spacing w:val="0"/>
          <w:sz w:val="31"/>
          <w:szCs w:val="31"/>
          <w:lang w:eastAsia="zh-CN"/>
        </w:rPr>
        <w:t>。</w:t>
      </w:r>
      <w:r>
        <w:rPr>
          <w:rFonts w:hint="eastAsia" w:ascii="仿宋" w:hAnsi="仿宋" w:eastAsia="仿宋" w:cs="仿宋"/>
          <w:sz w:val="32"/>
          <w:szCs w:val="32"/>
        </w:rPr>
        <w:t>本报告电子版可在“中国·微山”政府门户网站（http://www.weishan.gov.cn/）查阅或下载。如对本报告有疑问，请与微山县卫生健康局联系（地址：微山县东风东路102号县卫生健康局，联系电话：0537-</w:t>
      </w:r>
      <w:r>
        <w:rPr>
          <w:rFonts w:hint="eastAsia" w:ascii="仿宋" w:hAnsi="仿宋" w:eastAsia="仿宋" w:cs="仿宋"/>
          <w:sz w:val="32"/>
          <w:szCs w:val="32"/>
          <w:lang w:val="en-US" w:eastAsia="zh-CN"/>
        </w:rPr>
        <w:t>8291938</w:t>
      </w:r>
      <w:r>
        <w:rPr>
          <w:rFonts w:hint="eastAsia" w:ascii="仿宋" w:hAnsi="仿宋" w:eastAsia="仿宋" w:cs="仿宋"/>
          <w:sz w:val="32"/>
          <w:szCs w:val="32"/>
        </w:rPr>
        <w:t>）。</w:t>
      </w:r>
    </w:p>
    <w:p>
      <w:p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局在县委、县政府正确领导下，认真贯彻落实《政府信息公开条例》，着力推进政策公开、服务公开、结果公开，依法保障人民群众的知情权、参与权和监督权，为促进卫生健康事业持续发展发挥了积极作用。</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（一）主动公开情况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县卫生健康局以县政府门户网站信息公开平台为主渠道，主动公开政府信息，涉及会议公开、政策文件公开、行政权力运行公开等方面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卫健局政府网站发布工作动态118条、图片新闻26条；政务新媒体中微信公众号共计发布186条</w:t>
      </w:r>
      <w:r>
        <w:rPr>
          <w:rFonts w:hint="eastAsia" w:ascii="仿宋" w:hAnsi="仿宋" w:eastAsia="仿宋" w:cs="仿宋"/>
          <w:sz w:val="32"/>
          <w:szCs w:val="32"/>
        </w:rPr>
        <w:t>。</w:t>
      </w:r>
    </w:p>
    <w:p>
      <w:pPr>
        <w:ind w:firstLine="420" w:firstLineChars="200"/>
        <w:rPr>
          <w:rFonts w:hint="eastAsia" w:ascii="仿宋" w:hAnsi="仿宋" w:eastAsia="仿宋" w:cs="仿宋"/>
          <w:sz w:val="32"/>
          <w:szCs w:val="32"/>
          <w:lang w:eastAsia="zh-CN"/>
        </w:rPr>
      </w:pPr>
      <w:r>
        <w:rPr>
          <w:rFonts w:hint="eastAsia" w:eastAsiaTheme="minorEastAsia"/>
          <w:lang w:eastAsia="zh-CN"/>
        </w:rPr>
        <w:drawing>
          <wp:inline distT="0" distB="0" distL="114300" distR="114300">
            <wp:extent cx="4811395" cy="3030855"/>
            <wp:effectExtent l="4445" t="4445" r="2286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（二）依申请公开情况</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年度，我局收到</w:t>
      </w:r>
      <w:r>
        <w:rPr>
          <w:rFonts w:hint="eastAsia" w:ascii="仿宋" w:hAnsi="仿宋" w:eastAsia="仿宋" w:cs="仿宋"/>
          <w:color w:val="auto"/>
          <w:sz w:val="32"/>
          <w:szCs w:val="32"/>
          <w:lang w:val="en-US" w:eastAsia="zh-CN"/>
        </w:rPr>
        <w:t>依</w:t>
      </w:r>
      <w:r>
        <w:rPr>
          <w:rFonts w:hint="eastAsia" w:ascii="仿宋" w:hAnsi="仿宋" w:eastAsia="仿宋" w:cs="仿宋"/>
          <w:color w:val="auto"/>
          <w:sz w:val="32"/>
          <w:szCs w:val="32"/>
        </w:rPr>
        <w:t>申请公开事项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件</w:t>
      </w:r>
      <w:bookmarkStart w:id="0" w:name="_GoBack"/>
      <w:bookmarkEnd w:id="0"/>
      <w:r>
        <w:rPr>
          <w:rFonts w:hint="eastAsia" w:ascii="仿宋" w:hAnsi="仿宋" w:eastAsia="仿宋" w:cs="仿宋"/>
          <w:color w:val="auto"/>
          <w:sz w:val="32"/>
          <w:szCs w:val="32"/>
        </w:rPr>
        <w:t>，较202</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减少</w:t>
      </w:r>
      <w:r>
        <w:rPr>
          <w:rFonts w:hint="eastAsia" w:ascii="仿宋" w:hAnsi="仿宋" w:eastAsia="仿宋" w:cs="仿宋"/>
          <w:color w:val="auto"/>
          <w:sz w:val="32"/>
          <w:szCs w:val="32"/>
        </w:rPr>
        <w:t>1件。</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（三）政府信息管理情况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公开内容上，按照“以公开为原则，不公开为例外”的要求，重点公开了传染病防控、饮用水卫生状况、健康扶贫基金管理、惠民便民政策措施、行政审批及行政处罚等信息。</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（四）政府信息公开平台建设情况</w:t>
      </w:r>
    </w:p>
    <w:p>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各医疗卫生机构除在县政府网站上公开公布相关信息外，采用展板、LED屏、一体机等方式公布医疗服务价格、药物价格等信息。同时，严格执行住院“一日清单”制度，将每日花费详细情况书面告知病人。县人民医院、县中医院等有条件的医疗机构开设了微信公众号，详细公布了医院信息、诊疗服务、就医指南、便民须知等信息，方便大众查询。</w:t>
      </w:r>
      <w:r>
        <w:rPr>
          <w:rFonts w:hint="eastAsia" w:ascii="仿宋" w:hAnsi="仿宋" w:eastAsia="仿宋" w:cs="仿宋"/>
          <w:sz w:val="32"/>
          <w:szCs w:val="32"/>
          <w:lang w:val="en-US" w:eastAsia="zh-CN"/>
        </w:rPr>
        <w:t>医疗机构交通路线、门诊、诊疗等信息在政务公开网站上进行公开公示。同步，做好核酸检测点、发热门诊、疫苗接种点信息的公开和更新。</w:t>
      </w:r>
    </w:p>
    <w:p>
      <w:pPr>
        <w:ind w:firstLine="640" w:firstLineChars="200"/>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（五）监督保障情况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我局成立政府信息公开工作领导小组，落实了管理办公室及人员，编制了政府信息公开目录，并不断强化信息公开审核发布力度，确保政府信息公开的权威性、准确性、及时性。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jc w:val="both"/>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1"/>
          <w:szCs w:val="31"/>
        </w:rPr>
        <w:t>二、主动公开政府信息情况</w:t>
      </w:r>
    </w:p>
    <w:tbl>
      <w:tblPr>
        <w:tblStyle w:val="3"/>
        <w:tblW w:w="835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195"/>
        <w:gridCol w:w="1920"/>
        <w:gridCol w:w="1567"/>
        <w:gridCol w:w="16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8355"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信息内容</w:t>
            </w:r>
          </w:p>
        </w:tc>
        <w:tc>
          <w:tcPr>
            <w:tcW w:w="192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本年制发件数</w:t>
            </w:r>
          </w:p>
        </w:tc>
        <w:tc>
          <w:tcPr>
            <w:tcW w:w="156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本年废止件数</w:t>
            </w:r>
          </w:p>
        </w:tc>
        <w:tc>
          <w:tcPr>
            <w:tcW w:w="167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规章</w:t>
            </w:r>
          </w:p>
        </w:tc>
        <w:tc>
          <w:tcPr>
            <w:tcW w:w="19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c>
          <w:tcPr>
            <w:tcW w:w="15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c>
          <w:tcPr>
            <w:tcW w:w="167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规范性文件</w:t>
            </w:r>
          </w:p>
        </w:tc>
        <w:tc>
          <w:tcPr>
            <w:tcW w:w="19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c>
          <w:tcPr>
            <w:tcW w:w="156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c>
          <w:tcPr>
            <w:tcW w:w="167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83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信息内容</w:t>
            </w:r>
          </w:p>
        </w:tc>
        <w:tc>
          <w:tcPr>
            <w:tcW w:w="516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行政许可</w:t>
            </w:r>
          </w:p>
        </w:tc>
        <w:tc>
          <w:tcPr>
            <w:tcW w:w="516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83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信息内容</w:t>
            </w:r>
          </w:p>
        </w:tc>
        <w:tc>
          <w:tcPr>
            <w:tcW w:w="5160" w:type="dxa"/>
            <w:gridSpan w:val="3"/>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行政处罚</w:t>
            </w:r>
          </w:p>
        </w:tc>
        <w:tc>
          <w:tcPr>
            <w:tcW w:w="516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行政强制</w:t>
            </w:r>
          </w:p>
        </w:tc>
        <w:tc>
          <w:tcPr>
            <w:tcW w:w="5160" w:type="dxa"/>
            <w:gridSpan w:val="3"/>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8355"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信息内容</w:t>
            </w:r>
          </w:p>
        </w:tc>
        <w:tc>
          <w:tcPr>
            <w:tcW w:w="516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color w:val="333333"/>
                <w:sz w:val="24"/>
                <w:szCs w:val="24"/>
                <w:lang w:val="en-US" w:eastAsia="zh-CN"/>
              </w:rPr>
            </w:pPr>
            <w:r>
              <w:rPr>
                <w:rFonts w:hint="eastAsia"/>
                <w:color w:val="333333"/>
                <w:sz w:val="24"/>
                <w:szCs w:val="24"/>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jc w:val="center"/>
        </w:trPr>
        <w:tc>
          <w:tcPr>
            <w:tcW w:w="319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行政事业性收费</w:t>
            </w:r>
          </w:p>
        </w:tc>
        <w:tc>
          <w:tcPr>
            <w:tcW w:w="5160" w:type="dxa"/>
            <w:gridSpan w:val="3"/>
            <w:tcBorders>
              <w:top w:val="nil"/>
              <w:left w:val="nil"/>
              <w:bottom w:val="single" w:color="auto" w:sz="6" w:space="0"/>
              <w:right w:val="single" w:color="000000"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color w:val="333333"/>
                <w:sz w:val="24"/>
                <w:szCs w:val="24"/>
                <w:lang w:val="en-US" w:eastAsia="zh-CN"/>
              </w:rPr>
            </w:pPr>
            <w:r>
              <w:rPr>
                <w:rFonts w:hint="eastAsia"/>
                <w:color w:val="333333"/>
                <w:sz w:val="24"/>
                <w:szCs w:val="24"/>
                <w:lang w:val="en-US" w:eastAsia="zh-CN"/>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1"/>
          <w:szCs w:val="3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15"/>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1"/>
          <w:szCs w:val="31"/>
        </w:rPr>
        <w:t>三、收到和处理政府信息公开申请情况</w:t>
      </w:r>
    </w:p>
    <w:tbl>
      <w:tblPr>
        <w:tblStyle w:val="3"/>
        <w:tblW w:w="820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20"/>
        <w:gridCol w:w="945"/>
        <w:gridCol w:w="1909"/>
        <w:gridCol w:w="637"/>
        <w:gridCol w:w="594"/>
        <w:gridCol w:w="666"/>
        <w:gridCol w:w="752"/>
        <w:gridCol w:w="766"/>
        <w:gridCol w:w="651"/>
        <w:gridCol w:w="56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blCellSpacing w:w="0" w:type="dxa"/>
          <w:jc w:val="center"/>
        </w:trPr>
        <w:tc>
          <w:tcPr>
            <w:tcW w:w="3525" w:type="dxa"/>
            <w:gridSpan w:val="3"/>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（本列数据的勾稽关系为：第一项加第二项之和，等于第三项加第四项之和）</w:t>
            </w:r>
          </w:p>
        </w:tc>
        <w:tc>
          <w:tcPr>
            <w:tcW w:w="4680" w:type="dxa"/>
            <w:gridSpan w:val="7"/>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blCellSpacing w:w="0" w:type="dxa"/>
          <w:jc w:val="center"/>
        </w:trPr>
        <w:tc>
          <w:tcPr>
            <w:tcW w:w="352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45"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人</w:t>
            </w:r>
          </w:p>
        </w:tc>
        <w:tc>
          <w:tcPr>
            <w:tcW w:w="3465"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法人或其他组织</w:t>
            </w:r>
          </w:p>
        </w:tc>
        <w:tc>
          <w:tcPr>
            <w:tcW w:w="57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5" w:hRule="atLeast"/>
          <w:tblCellSpacing w:w="0" w:type="dxa"/>
          <w:jc w:val="center"/>
        </w:trPr>
        <w:tc>
          <w:tcPr>
            <w:tcW w:w="3525" w:type="dxa"/>
            <w:gridSpan w:val="3"/>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45"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商业企业</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科研机构</w:t>
            </w:r>
          </w:p>
        </w:tc>
        <w:tc>
          <w:tcPr>
            <w:tcW w:w="765"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社会公益组织</w:t>
            </w:r>
          </w:p>
        </w:tc>
        <w:tc>
          <w:tcPr>
            <w:tcW w:w="78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法律服务机构</w:t>
            </w:r>
          </w:p>
        </w:tc>
        <w:tc>
          <w:tcPr>
            <w:tcW w:w="66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其他</w:t>
            </w:r>
          </w:p>
        </w:tc>
        <w:tc>
          <w:tcPr>
            <w:tcW w:w="57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一、本年新收政府信息公开申请数量</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二、上年结转政府信息公开申请数量</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5" w:hRule="atLeast"/>
          <w:tblCellSpacing w:w="0" w:type="dxa"/>
          <w:jc w:val="center"/>
        </w:trPr>
        <w:tc>
          <w:tcPr>
            <w:tcW w:w="72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三、本年度办理结果</w:t>
            </w:r>
          </w:p>
        </w:tc>
        <w:tc>
          <w:tcPr>
            <w:tcW w:w="28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（一）予以公开</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（二）部分公开（区分处理的，只计这一情形，不计其他情形）</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（三）不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开</w:t>
            </w: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1.属于国家秘密</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2.其他法律行政法规禁止公开</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3.危及“三安全一稳定”</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4.保护第三方合法权益</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5.属于三类内部事务信息</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6.属于四类过程性信息</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7.属于行政执法案卷</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8.属于行政查询事项</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（四）无法提供</w:t>
            </w: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1.本机关不掌握相关政府信息</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2.没有现成信息需要另行制作</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3.补正后申请内容仍不明确</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（五）不予处理</w:t>
            </w: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1.信访举报投诉类申请</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2.重复申请</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3.要求提供公开出版物</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60"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4.无正当理由大量反复申请</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4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84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9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5.要求行政机关确认或重新出具已获取信息</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（六）其他处理</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blCellSpacing w:w="0" w:type="dxa"/>
          <w:jc w:val="center"/>
        </w:trPr>
        <w:tc>
          <w:tcPr>
            <w:tcW w:w="72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805"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（七）总计</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tblCellSpacing w:w="0" w:type="dxa"/>
          <w:jc w:val="center"/>
        </w:trPr>
        <w:tc>
          <w:tcPr>
            <w:tcW w:w="3525" w:type="dxa"/>
            <w:gridSpan w:val="3"/>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四、结转下年度继续办理</w:t>
            </w:r>
          </w:p>
        </w:tc>
        <w:tc>
          <w:tcPr>
            <w:tcW w:w="6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7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78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default" w:ascii="Times New Roman" w:hAnsi="Times New Roman" w:cs="Times New Roman"/>
                <w:color w:val="333333"/>
                <w:sz w:val="21"/>
                <w:szCs w:val="21"/>
              </w:rPr>
              <w:t>0</w:t>
            </w:r>
          </w:p>
        </w:tc>
        <w:tc>
          <w:tcPr>
            <w:tcW w:w="57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1"/>
          <w:szCs w:val="31"/>
        </w:rPr>
        <w:t> </w:t>
      </w:r>
      <w:r>
        <w:rPr>
          <w:rFonts w:hint="eastAsia" w:ascii="黑体" w:hAnsi="宋体" w:eastAsia="黑体" w:cs="黑体"/>
          <w:i w:val="0"/>
          <w:iCs w:val="0"/>
          <w:caps w:val="0"/>
          <w:color w:val="333333"/>
          <w:spacing w:val="0"/>
          <w:sz w:val="31"/>
          <w:szCs w:val="31"/>
        </w:rPr>
        <w:t>四、政府信息公开行政复议、行政诉讼情况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31"/>
          <w:szCs w:val="31"/>
        </w:rPr>
        <w:t> </w:t>
      </w:r>
    </w:p>
    <w:tbl>
      <w:tblPr>
        <w:tblStyle w:val="3"/>
        <w:tblW w:w="9075" w:type="dxa"/>
        <w:jc w:val="center"/>
        <w:tblCellSpacing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vMerge w:val="restart"/>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结果维持</w:t>
            </w:r>
          </w:p>
        </w:tc>
        <w:tc>
          <w:tcPr>
            <w:tcW w:w="600" w:type="dxa"/>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尚未审结</w:t>
            </w:r>
          </w:p>
        </w:tc>
        <w:tc>
          <w:tcPr>
            <w:tcW w:w="660" w:type="dxa"/>
            <w:vMerge w:val="restart"/>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总计</w:t>
            </w:r>
          </w:p>
        </w:tc>
        <w:tc>
          <w:tcPr>
            <w:tcW w:w="297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00" w:type="dxa"/>
            <w:vMerge w:val="continue"/>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660" w:type="dxa"/>
            <w:vMerge w:val="continue"/>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结果维持</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总计</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结果维持</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结果纠正</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其他结果</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尚未审结</w:t>
            </w:r>
          </w:p>
        </w:tc>
        <w:tc>
          <w:tcPr>
            <w:tcW w:w="600"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color w:val="333333"/>
                <w:sz w:val="24"/>
                <w:szCs w:val="24"/>
              </w:rPr>
            </w:pPr>
            <w:r>
              <w:rPr>
                <w:rFonts w:hint="eastAsia" w:ascii="宋体" w:hAnsi="宋体" w:eastAsia="宋体" w:cs="宋体"/>
                <w:color w:val="333333"/>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0" w:hRule="atLeast"/>
          <w:tblCellSpacing w:w="0" w:type="dxa"/>
          <w:jc w:val="center"/>
        </w:trPr>
        <w:tc>
          <w:tcPr>
            <w:tcW w:w="60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6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555"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default"/>
                <w:sz w:val="24"/>
                <w:szCs w:val="32"/>
              </w:rPr>
              <w:t>0</w:t>
            </w:r>
          </w:p>
        </w:tc>
        <w:tc>
          <w:tcPr>
            <w:tcW w:w="600" w:type="dxa"/>
            <w:tcBorders>
              <w:top w:val="nil"/>
              <w:left w:val="nil"/>
              <w:bottom w:val="single" w:color="auto" w:sz="6" w:space="0"/>
              <w:right w:val="single" w:color="auto" w:sz="6" w:space="0"/>
            </w:tcBorders>
            <w:shd w:val="clear" w:color="auto" w:fill="auto"/>
            <w:tcMar>
              <w:left w:w="105" w:type="dxa"/>
              <w:right w:w="105" w:type="dxa"/>
            </w:tcMar>
            <w:vAlign w:val="center"/>
          </w:tcPr>
          <w:p>
            <w:pPr>
              <w:rPr>
                <w:sz w:val="24"/>
                <w:szCs w:val="32"/>
              </w:rPr>
            </w:pPr>
            <w:r>
              <w:rPr>
                <w:rFonts w:hint="eastAsia"/>
                <w:sz w:val="24"/>
                <w:szCs w:val="32"/>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i w:val="0"/>
          <w:iCs w:val="0"/>
          <w:caps w:val="0"/>
          <w:color w:val="333333"/>
          <w:spacing w:val="0"/>
          <w:sz w:val="21"/>
          <w:szCs w:val="21"/>
        </w:rPr>
        <w:t> </w:t>
      </w:r>
    </w:p>
    <w:p>
      <w:pPr>
        <w:rPr>
          <w:rFonts w:hint="eastAsia" w:ascii="方正黑体简体" w:hAnsi="方正黑体简体" w:eastAsia="方正黑体简体" w:cs="方正黑体简体"/>
          <w:sz w:val="32"/>
          <w:szCs w:val="32"/>
        </w:rPr>
      </w:pPr>
      <w:r>
        <w:rPr>
          <w:rFonts w:hint="eastAsia" w:ascii="仿宋" w:hAnsi="仿宋" w:eastAsia="仿宋" w:cs="仿宋"/>
          <w:sz w:val="32"/>
          <w:szCs w:val="32"/>
        </w:rPr>
        <w:t>       </w:t>
      </w:r>
      <w:r>
        <w:rPr>
          <w:rFonts w:hint="eastAsia" w:ascii="方正黑体简体" w:hAnsi="方正黑体简体" w:eastAsia="方正黑体简体" w:cs="方正黑体简体"/>
          <w:sz w:val="32"/>
          <w:szCs w:val="32"/>
        </w:rPr>
        <w:t>五、存在的主要问题及改进情况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年，我局政府信息公开工作平稳有序推进，但还存在一些薄弱环节:一是信息公开及时性有待进一步强化;二是信息公开内容有待进一步深化;三是信息公开质量有待进一步提升。</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针对上述问题，我局将进一步贯彻落实《政府信息公开条例》，继续大力推进政府信息公开工作。一是强化信息公开培训。提高对信息公开的认识，强化主动公开，不断提高我局信息发布的数量和质量。二是完善政务信息公开内容。严格按照省市县政府信息公开重点工作安排，对照信息公开内容，进一步扩大公开范围和内容。三是健全信息公开制度。把人民群众普遍关心、涉及人民群众切身利益的问题作为重点，依法、及时、准确公开。</w:t>
      </w:r>
    </w:p>
    <w:p>
      <w:pPr>
        <w:numPr>
          <w:ilvl w:val="0"/>
          <w:numId w:val="1"/>
        </w:numPr>
        <w:ind w:firstLine="640" w:firstLineChars="200"/>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其他需要报告的事项</w:t>
      </w:r>
    </w:p>
    <w:p>
      <w:pPr>
        <w:numPr>
          <w:ilvl w:val="0"/>
          <w:numId w:val="0"/>
        </w:numPr>
        <w:ind w:firstLine="640" w:firstLineChars="200"/>
        <w:rPr>
          <w:rFonts w:hint="eastAsia" w:ascii="仿宋" w:hAnsi="仿宋" w:eastAsia="仿宋" w:cs="仿宋"/>
          <w:sz w:val="32"/>
          <w:szCs w:val="32"/>
        </w:rPr>
      </w:pPr>
      <w:r>
        <w:rPr>
          <w:rFonts w:hint="eastAsia" w:ascii="方正楷体简体" w:hAnsi="方正楷体简体" w:eastAsia="方正楷体简体" w:cs="方正楷体简体"/>
          <w:sz w:val="32"/>
          <w:szCs w:val="32"/>
        </w:rPr>
        <w:t>（一）收取信息费情况</w:t>
      </w:r>
      <w:r>
        <w:rPr>
          <w:rFonts w:hint="eastAsia" w:ascii="方正楷体简体" w:hAnsi="方正楷体简体" w:eastAsia="方正楷体简体" w:cs="方正楷体简体"/>
          <w:sz w:val="32"/>
          <w:szCs w:val="32"/>
          <w:lang w:eastAsia="zh-CN"/>
        </w:rPr>
        <w:t>：</w:t>
      </w:r>
      <w:r>
        <w:rPr>
          <w:rFonts w:hint="eastAsia" w:ascii="仿宋" w:hAnsi="仿宋" w:eastAsia="仿宋" w:cs="仿宋"/>
          <w:sz w:val="32"/>
          <w:szCs w:val="32"/>
        </w:rPr>
        <w:t>依据《政府信息公开信息处理费管理办法》，我局无信息处理费。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75"/>
        <w:jc w:val="left"/>
        <w:rPr>
          <w:color w:val="333333"/>
          <w:sz w:val="24"/>
          <w:szCs w:val="24"/>
        </w:rPr>
      </w:pPr>
      <w:r>
        <w:rPr>
          <w:rFonts w:hint="eastAsia" w:ascii="方正楷体简体" w:hAnsi="方正楷体简体" w:eastAsia="方正楷体简体" w:cs="方正楷体简体"/>
          <w:kern w:val="2"/>
          <w:sz w:val="32"/>
          <w:szCs w:val="32"/>
          <w:lang w:val="en-US" w:eastAsia="zh-CN" w:bidi="ar-SA"/>
        </w:rPr>
        <w:t>（二）落实上级年度政务公开工作要点情况：</w:t>
      </w:r>
      <w:r>
        <w:rPr>
          <w:rFonts w:hint="eastAsia" w:ascii="仿宋" w:hAnsi="仿宋" w:eastAsia="仿宋" w:cs="仿宋"/>
          <w:kern w:val="2"/>
          <w:sz w:val="32"/>
          <w:szCs w:val="32"/>
          <w:lang w:val="en-US" w:eastAsia="zh-CN" w:bidi="ar-SA"/>
        </w:rPr>
        <w:t>为提高政府信息公开工作的规范化、制度化和科学化水平，根据政府信息公开工作要点的有关要求，细化分解各项任务同时，建立了信息联络员制度，极大地提升了政务信息报送的质量和水平；</w:t>
      </w:r>
    </w:p>
    <w:p>
      <w:pPr>
        <w:ind w:firstLine="640" w:firstLineChars="200"/>
        <w:rPr>
          <w:rFonts w:hint="eastAsia" w:ascii="仿宋" w:hAnsi="仿宋" w:eastAsia="仿宋" w:cs="仿宋"/>
          <w:sz w:val="32"/>
          <w:szCs w:val="32"/>
        </w:rPr>
      </w:pPr>
      <w:r>
        <w:rPr>
          <w:rFonts w:hint="eastAsia" w:ascii="方正楷体简体" w:hAnsi="方正楷体简体" w:eastAsia="方正楷体简体" w:cs="方正楷体简体"/>
          <w:sz w:val="32"/>
          <w:szCs w:val="32"/>
        </w:rPr>
        <w:t>（</w:t>
      </w:r>
      <w:r>
        <w:rPr>
          <w:rFonts w:hint="eastAsia" w:ascii="方正楷体简体" w:hAnsi="方正楷体简体" w:eastAsia="方正楷体简体" w:cs="方正楷体简体"/>
          <w:sz w:val="32"/>
          <w:szCs w:val="32"/>
          <w:lang w:val="en-US" w:eastAsia="zh-CN"/>
        </w:rPr>
        <w:t>三</w:t>
      </w:r>
      <w:r>
        <w:rPr>
          <w:rFonts w:hint="eastAsia" w:ascii="方正楷体简体" w:hAnsi="方正楷体简体" w:eastAsia="方正楷体简体" w:cs="方正楷体简体"/>
          <w:sz w:val="32"/>
          <w:szCs w:val="32"/>
        </w:rPr>
        <w:t>）人大代表建议和政协提案情况</w:t>
      </w:r>
      <w:r>
        <w:rPr>
          <w:rFonts w:hint="eastAsia" w:ascii="方正楷体简体" w:hAnsi="方正楷体简体" w:eastAsia="方正楷体简体" w:cs="方正楷体简体"/>
          <w:sz w:val="32"/>
          <w:szCs w:val="32"/>
          <w:lang w:eastAsia="zh-CN"/>
        </w:rPr>
        <w:t>：</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年，县人大代表、政协委员对我局共提出建议</w:t>
      </w:r>
      <w:r>
        <w:rPr>
          <w:rFonts w:hint="eastAsia" w:ascii="仿宋" w:hAnsi="仿宋" w:eastAsia="仿宋" w:cs="仿宋"/>
          <w:sz w:val="32"/>
          <w:szCs w:val="32"/>
          <w:lang w:val="en-US" w:eastAsia="zh-CN"/>
        </w:rPr>
        <w:t>7</w:t>
      </w:r>
      <w:r>
        <w:rPr>
          <w:rFonts w:hint="eastAsia" w:ascii="仿宋" w:hAnsi="仿宋" w:eastAsia="仿宋" w:cs="仿宋"/>
          <w:sz w:val="32"/>
          <w:szCs w:val="32"/>
        </w:rPr>
        <w:t>件、提案1</w:t>
      </w:r>
      <w:r>
        <w:rPr>
          <w:rFonts w:hint="eastAsia" w:ascii="仿宋" w:hAnsi="仿宋" w:eastAsia="仿宋" w:cs="仿宋"/>
          <w:sz w:val="32"/>
          <w:szCs w:val="32"/>
          <w:lang w:val="en-US" w:eastAsia="zh-CN"/>
        </w:rPr>
        <w:t>8</w:t>
      </w:r>
      <w:r>
        <w:rPr>
          <w:rFonts w:hint="eastAsia" w:ascii="仿宋" w:hAnsi="仿宋" w:eastAsia="仿宋" w:cs="仿宋"/>
          <w:sz w:val="32"/>
          <w:szCs w:val="32"/>
        </w:rPr>
        <w:t>件，均在规定期限内回复。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75"/>
        <w:jc w:val="left"/>
        <w:rPr>
          <w:color w:val="333333"/>
          <w:sz w:val="24"/>
          <w:szCs w:val="24"/>
        </w:rPr>
      </w:pPr>
      <w:r>
        <w:rPr>
          <w:rFonts w:hint="eastAsia" w:ascii="方正楷体简体" w:hAnsi="方正楷体简体" w:eastAsia="方正楷体简体" w:cs="方正楷体简体"/>
          <w:kern w:val="2"/>
          <w:sz w:val="32"/>
          <w:szCs w:val="32"/>
          <w:lang w:val="en-US" w:eastAsia="zh-CN" w:bidi="ar-SA"/>
        </w:rPr>
        <w:t>（四）政务公开工作创新情况：</w:t>
      </w:r>
      <w:r>
        <w:rPr>
          <w:rFonts w:hint="eastAsia" w:ascii="仿宋" w:hAnsi="仿宋" w:eastAsia="仿宋" w:cs="仿宋"/>
          <w:i w:val="0"/>
          <w:iCs w:val="0"/>
          <w:caps w:val="0"/>
          <w:color w:val="333333"/>
          <w:spacing w:val="15"/>
          <w:sz w:val="31"/>
          <w:szCs w:val="31"/>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75"/>
        <w:jc w:val="left"/>
        <w:rPr>
          <w:color w:val="333333"/>
          <w:sz w:val="24"/>
          <w:szCs w:val="24"/>
        </w:rPr>
      </w:pPr>
      <w:r>
        <w:rPr>
          <w:rFonts w:hint="eastAsia" w:ascii="方正楷体简体" w:hAnsi="方正楷体简体" w:eastAsia="方正楷体简体" w:cs="方正楷体简体"/>
          <w:kern w:val="2"/>
          <w:sz w:val="32"/>
          <w:szCs w:val="32"/>
          <w:lang w:val="en-US" w:eastAsia="zh-CN" w:bidi="ar-SA"/>
        </w:rPr>
        <w:t>（五）政府信息公开工作年度报告数据统计需要说明的事项：</w:t>
      </w:r>
      <w:r>
        <w:rPr>
          <w:rFonts w:hint="eastAsia" w:ascii="仿宋" w:hAnsi="仿宋" w:eastAsia="仿宋" w:cs="仿宋"/>
          <w:i w:val="0"/>
          <w:iCs w:val="0"/>
          <w:caps w:val="0"/>
          <w:color w:val="333333"/>
          <w:spacing w:val="15"/>
          <w:sz w:val="31"/>
          <w:szCs w:val="31"/>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75"/>
        <w:jc w:val="left"/>
        <w:rPr>
          <w:color w:val="333333"/>
          <w:sz w:val="24"/>
          <w:szCs w:val="24"/>
        </w:rPr>
      </w:pPr>
      <w:r>
        <w:rPr>
          <w:rFonts w:hint="eastAsia" w:ascii="方正楷体简体" w:hAnsi="方正楷体简体" w:eastAsia="方正楷体简体" w:cs="方正楷体简体"/>
          <w:kern w:val="2"/>
          <w:sz w:val="32"/>
          <w:szCs w:val="32"/>
          <w:lang w:val="en-US" w:eastAsia="zh-CN" w:bidi="ar-SA"/>
        </w:rPr>
        <w:t>（六）需要报告的其他事项：</w:t>
      </w:r>
      <w:r>
        <w:rPr>
          <w:rFonts w:hint="eastAsia" w:ascii="仿宋" w:hAnsi="仿宋" w:eastAsia="仿宋" w:cs="仿宋"/>
          <w:i w:val="0"/>
          <w:iCs w:val="0"/>
          <w:caps w:val="0"/>
          <w:color w:val="333333"/>
          <w:spacing w:val="15"/>
          <w:sz w:val="31"/>
          <w:szCs w:val="31"/>
        </w:rPr>
        <w:t>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firstLine="675"/>
        <w:jc w:val="left"/>
        <w:rPr>
          <w:color w:val="333333"/>
          <w:sz w:val="24"/>
          <w:szCs w:val="24"/>
        </w:rPr>
      </w:pPr>
      <w:r>
        <w:rPr>
          <w:rFonts w:hint="eastAsia" w:ascii="方正楷体简体" w:hAnsi="方正楷体简体" w:eastAsia="方正楷体简体" w:cs="方正楷体简体"/>
          <w:kern w:val="2"/>
          <w:sz w:val="32"/>
          <w:szCs w:val="32"/>
          <w:lang w:val="en-US" w:eastAsia="zh-CN" w:bidi="ar-SA"/>
        </w:rPr>
        <w:t>（七）有关文件专门要求通过政府信息公开工作年度报告予以报告的其他事项：</w:t>
      </w:r>
      <w:r>
        <w:rPr>
          <w:rFonts w:hint="eastAsia" w:ascii="仿宋" w:hAnsi="仿宋" w:eastAsia="仿宋" w:cs="仿宋"/>
          <w:i w:val="0"/>
          <w:iCs w:val="0"/>
          <w:caps w:val="0"/>
          <w:color w:val="333333"/>
          <w:spacing w:val="15"/>
          <w:sz w:val="31"/>
          <w:szCs w:val="31"/>
        </w:rPr>
        <w:t>无。</w:t>
      </w:r>
    </w:p>
    <w:p>
      <w:pPr>
        <w:rPr>
          <w:rFonts w:hint="eastAsia" w:ascii="仿宋" w:hAnsi="仿宋" w:eastAsia="仿宋" w:cs="仿宋"/>
          <w:sz w:val="32"/>
          <w:szCs w:val="32"/>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73CBBE"/>
    <w:multiLevelType w:val="singleLevel"/>
    <w:tmpl w:val="2A73CBB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ZTcwMmQ0M2MzMTQ0OGUzMDA5MzBkOGI5MDM0MDQifQ=="/>
    <w:docVar w:name="KSO_WPS_MARK_KEY" w:val="c9b910b2-9d54-4d90-8b09-9d84ff302833"/>
  </w:docVars>
  <w:rsids>
    <w:rsidRoot w:val="13871C65"/>
    <w:rsid w:val="015D46DD"/>
    <w:rsid w:val="0305078E"/>
    <w:rsid w:val="03604B36"/>
    <w:rsid w:val="0942158C"/>
    <w:rsid w:val="0A9953A6"/>
    <w:rsid w:val="121A67F7"/>
    <w:rsid w:val="134A1D73"/>
    <w:rsid w:val="13745312"/>
    <w:rsid w:val="13871C65"/>
    <w:rsid w:val="16F271C0"/>
    <w:rsid w:val="1C1D316C"/>
    <w:rsid w:val="1C915908"/>
    <w:rsid w:val="208F1D99"/>
    <w:rsid w:val="23AE77AB"/>
    <w:rsid w:val="23EB7FF4"/>
    <w:rsid w:val="2605070B"/>
    <w:rsid w:val="2B775125"/>
    <w:rsid w:val="2DB1318C"/>
    <w:rsid w:val="3253689B"/>
    <w:rsid w:val="3B742225"/>
    <w:rsid w:val="45C81AEB"/>
    <w:rsid w:val="4AE4089B"/>
    <w:rsid w:val="4DDB121F"/>
    <w:rsid w:val="4EF15140"/>
    <w:rsid w:val="53DC08C8"/>
    <w:rsid w:val="56E12A0D"/>
    <w:rsid w:val="590E560F"/>
    <w:rsid w:val="5D3459EE"/>
    <w:rsid w:val="5F654567"/>
    <w:rsid w:val="696F20FA"/>
    <w:rsid w:val="70E57BE1"/>
    <w:rsid w:val="73685BF0"/>
    <w:rsid w:val="744C5512"/>
    <w:rsid w:val="7863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74"/>
          <c:y val="0.0358333333333333"/>
        </c:manualLayout>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p>
      </c:txPr>
    </c:title>
    <c:autoTitleDeleted val="0"/>
    <c:plotArea>
      <c:layout>
        <c:manualLayout>
          <c:layoutTarget val="inner"/>
          <c:xMode val="edge"/>
          <c:yMode val="edge"/>
          <c:x val="0.26"/>
          <c:y val="0.187333333333333"/>
          <c:w val="0.525375"/>
          <c:h val="0.7005"/>
        </c:manualLayout>
      </c:layout>
      <c:pieChart>
        <c:varyColors val="1"/>
        <c:ser>
          <c:idx val="0"/>
          <c:order val="0"/>
          <c:tx>
            <c:strRef>
              <c:f>Sheet1!$B$1</c:f>
              <c:strCache>
                <c:ptCount val="1"/>
                <c:pt idx="0">
                  <c:v>政务信息公开</c:v>
                </c:pt>
              </c:strCache>
            </c:strRef>
          </c:tx>
          <c:spPr/>
          <c:explosion val="0"/>
          <c:dPt>
            <c:idx val="0"/>
            <c:bubble3D val="0"/>
            <c:spPr>
              <a:solidFill>
                <a:schemeClr val="accent2"/>
              </a:solidFill>
              <a:ln>
                <a:noFill/>
              </a:ln>
              <a:effectLst>
                <a:outerShdw blurRad="254000" sx="102000" sy="102000" algn="ctr" rotWithShape="0">
                  <a:prstClr val="black">
                    <a:alpha val="20000"/>
                  </a:prstClr>
                </a:outerShdw>
              </a:effectLst>
            </c:spPr>
          </c:dPt>
          <c:dPt>
            <c:idx val="1"/>
            <c:bubble3D val="0"/>
            <c:spPr>
              <a:solidFill>
                <a:schemeClr val="accent4"/>
              </a:solidFill>
              <a:ln>
                <a:noFill/>
              </a:ln>
              <a:effectLst>
                <a:outerShdw blurRad="254000" sx="102000" sy="102000" algn="ctr" rotWithShape="0">
                  <a:prstClr val="black">
                    <a:alpha val="20000"/>
                  </a:prstClr>
                </a:outerShdw>
              </a:effectLst>
            </c:spPr>
          </c:dPt>
          <c:dPt>
            <c:idx val="2"/>
            <c:bubble3D val="0"/>
            <c:spPr>
              <a:solidFill>
                <a:schemeClr val="accent6"/>
              </a:solidFill>
              <a:ln>
                <a:noFill/>
              </a:ln>
              <a:effectLst>
                <a:outerShdw blurRad="254000" sx="102000" sy="102000" algn="ctr" rotWithShape="0">
                  <a:prstClr val="black">
                    <a:alpha val="20000"/>
                  </a:prstClr>
                </a:outerShdw>
              </a:effectLst>
            </c:spPr>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0" vertOverflow="ellipsis" vert="horz" wrap="square" lIns="38100" tIns="19050" rIns="38100" bIns="19050" anchor="ctr" anchorCtr="1"/>
              <a:lstStyle/>
              <a:p>
                <a:pPr>
                  <a:defRPr lang="zh-CN" sz="1000" b="1" i="0" u="none" strike="noStrike" kern="1200" baseline="0">
                    <a:solidFill>
                      <a:schemeClr val="lt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Sheet1!$A$2:$A$4</c:f>
              <c:strCache>
                <c:ptCount val="3"/>
                <c:pt idx="0">
                  <c:v>工作动态</c:v>
                </c:pt>
                <c:pt idx="1">
                  <c:v>图片新闻</c:v>
                </c:pt>
                <c:pt idx="2">
                  <c:v>政务新媒体</c:v>
                </c:pt>
              </c:strCache>
            </c:strRef>
          </c:cat>
          <c:val>
            <c:numRef>
              <c:f>Sheet1!$B$2:$B$4</c:f>
              <c:numCache>
                <c:formatCode>General</c:formatCode>
                <c:ptCount val="3"/>
                <c:pt idx="0">
                  <c:v>118</c:v>
                </c:pt>
                <c:pt idx="1">
                  <c:v>26</c:v>
                </c:pt>
                <c:pt idx="2">
                  <c:v>186</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2349</Words>
  <Characters>2443</Characters>
  <Lines>0</Lines>
  <Paragraphs>0</Paragraphs>
  <TotalTime>1</TotalTime>
  <ScaleCrop>false</ScaleCrop>
  <LinksUpToDate>false</LinksUpToDate>
  <CharactersWithSpaces>2454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2023-01-31T02:10:00Z</dcterms:created>
  <dc:creator>Administrator</dc:creator>
  <cp:lastModifiedBy>微荷.天道酬勤</cp:lastModifiedBy>
  <dcterms:modified xsi:type="dcterms:W3CDTF">2023-02-10T02:19:17Z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A40F3AC4549F43CD9ACB665CA3128C21</vt:lpwstr>
  </property>
</Properties>
</file>