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本报告由微山县农业农村局按照《中华人民共和国政府信息公开条例》（以下简称《条例》）和《国务院办公厅政府信息与政务公开办公室关于印发〈中华人民共和国政府信息公开工作年度报告格式〉的通知》（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本报告所列数据的统计期限自202</w:t>
      </w:r>
      <w:r>
        <w:rPr>
          <w:rFonts w:hint="eastAsia" w:ascii="宋体" w:hAnsi="宋体" w:cs="宋体"/>
          <w:b w:val="0"/>
          <w:bCs w:val="0"/>
          <w:sz w:val="32"/>
          <w:szCs w:val="32"/>
          <w:shd w:val="clear" w:color="auto" w:fill="FFFFFF"/>
          <w:lang w:val="en-US" w:eastAsia="zh-CN"/>
        </w:rPr>
        <w:t>3</w:t>
      </w:r>
      <w:r>
        <w:rPr>
          <w:rFonts w:hint="eastAsia" w:ascii="宋体" w:hAnsi="宋体" w:eastAsia="宋体" w:cs="宋体"/>
          <w:b w:val="0"/>
          <w:bCs w:val="0"/>
          <w:sz w:val="32"/>
          <w:szCs w:val="32"/>
          <w:shd w:val="clear" w:color="auto" w:fill="FFFFFF"/>
          <w:lang w:val="en-US" w:eastAsia="zh-CN"/>
        </w:rPr>
        <w:t>年1月1日起至202</w:t>
      </w:r>
      <w:r>
        <w:rPr>
          <w:rFonts w:hint="eastAsia" w:ascii="宋体" w:hAnsi="宋体" w:cs="宋体"/>
          <w:b w:val="0"/>
          <w:bCs w:val="0"/>
          <w:sz w:val="32"/>
          <w:szCs w:val="32"/>
          <w:shd w:val="clear" w:color="auto" w:fill="FFFFFF"/>
          <w:lang w:val="en-US" w:eastAsia="zh-CN"/>
        </w:rPr>
        <w:t>3</w:t>
      </w:r>
      <w:r>
        <w:rPr>
          <w:rFonts w:hint="eastAsia" w:ascii="宋体" w:hAnsi="宋体" w:eastAsia="宋体" w:cs="宋体"/>
          <w:b w:val="0"/>
          <w:bCs w:val="0"/>
          <w:sz w:val="32"/>
          <w:szCs w:val="32"/>
          <w:shd w:val="clear" w:color="auto" w:fill="FFFFFF"/>
          <w:lang w:val="en-US" w:eastAsia="zh-CN"/>
        </w:rPr>
        <w:t>年12月31日止。本报告电子版可在微山县政府门户网站（http://www.weishan.gov.cn/）查阅或下载。如对本报告有疑问，请与微山县农业农村局联系（地址：微山县奎文东路177</w:t>
      </w:r>
      <w:r>
        <w:rPr>
          <w:rFonts w:hint="eastAsia" w:ascii="宋体" w:hAnsi="宋体" w:cs="宋体"/>
          <w:b w:val="0"/>
          <w:bCs w:val="0"/>
          <w:sz w:val="32"/>
          <w:szCs w:val="32"/>
          <w:shd w:val="clear" w:color="auto" w:fill="FFFFFF"/>
          <w:lang w:val="en-US" w:eastAsia="zh-CN"/>
        </w:rPr>
        <w:t>号，</w:t>
      </w:r>
      <w:r>
        <w:rPr>
          <w:rFonts w:hint="eastAsia" w:ascii="宋体" w:hAnsi="宋体" w:eastAsia="宋体" w:cs="宋体"/>
          <w:b w:val="0"/>
          <w:bCs w:val="0"/>
          <w:sz w:val="32"/>
          <w:szCs w:val="32"/>
          <w:shd w:val="clear" w:color="auto" w:fill="FFFFFF"/>
          <w:lang w:val="en-US" w:eastAsia="zh-CN"/>
        </w:rPr>
        <w:t>联系电话：0537-8233678</w:t>
      </w:r>
      <w:r>
        <w:rPr>
          <w:rFonts w:hint="eastAsia" w:ascii="宋体" w:hAnsi="宋体" w:cs="宋体"/>
          <w:b w:val="0"/>
          <w:bCs w:val="0"/>
          <w:sz w:val="32"/>
          <w:szCs w:val="32"/>
          <w:shd w:val="clear" w:color="auto" w:fill="FFFFFF"/>
          <w:lang w:val="en-US" w:eastAsia="zh-CN"/>
        </w:rPr>
        <w:t>）</w:t>
      </w:r>
      <w:r>
        <w:rPr>
          <w:rFonts w:hint="eastAsia" w:ascii="宋体" w:hAnsi="宋体" w:eastAsia="宋体" w:cs="宋体"/>
          <w:b w:val="0"/>
          <w:bCs w:val="0"/>
          <w:sz w:val="32"/>
          <w:szCs w:val="32"/>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202</w:t>
      </w:r>
      <w:r>
        <w:rPr>
          <w:rFonts w:hint="eastAsia" w:ascii="宋体" w:hAnsi="宋体" w:cs="宋体"/>
          <w:b w:val="0"/>
          <w:bCs w:val="0"/>
          <w:sz w:val="32"/>
          <w:szCs w:val="32"/>
          <w:shd w:val="clear" w:color="auto" w:fill="FFFFFF"/>
          <w:lang w:val="en-US" w:eastAsia="zh-CN"/>
        </w:rPr>
        <w:t>3</w:t>
      </w:r>
      <w:r>
        <w:rPr>
          <w:rFonts w:hint="eastAsia" w:ascii="宋体" w:hAnsi="宋体" w:eastAsia="宋体" w:cs="宋体"/>
          <w:b w:val="0"/>
          <w:bCs w:val="0"/>
          <w:sz w:val="32"/>
          <w:szCs w:val="32"/>
          <w:shd w:val="clear" w:color="auto" w:fill="FFFFFF"/>
          <w:lang w:val="en-US" w:eastAsia="zh-CN"/>
        </w:rPr>
        <w:t>年县农业农村局践行以人民为中心发展理念，始终把政府信息公开工作作为一项重要工作来抓，认真贯彻落实《条例》和政府信息公开有关文件精神，积极开展政府信息公开有关工作，拓宽公开渠道，主动向社会进行公开。完善工作流程，结合工作职责实际，以涉农补贴、公共服务、农业建设和社会管理相关的政府信息为公开重点，不断完善公开内容，推动行政权力透明运行，塑造了政府依法行政、高效服务的形象，切实保障群众的知情权、参与权与监督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（一）主动公开情况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本年度我局主动公开公文类等各种部门信息，在微山县人民政府网公开部门文件1</w:t>
      </w:r>
      <w:r>
        <w:rPr>
          <w:rFonts w:hint="eastAsia" w:ascii="宋体" w:hAnsi="宋体" w:cs="宋体"/>
          <w:b w:val="0"/>
          <w:bCs w:val="0"/>
          <w:sz w:val="32"/>
          <w:szCs w:val="32"/>
          <w:shd w:val="clear" w:color="auto" w:fill="FFFFFF"/>
          <w:lang w:val="en-US" w:eastAsia="zh-CN"/>
        </w:rPr>
        <w:t>4</w:t>
      </w:r>
      <w:r>
        <w:rPr>
          <w:rFonts w:hint="eastAsia" w:ascii="宋体" w:hAnsi="宋体" w:eastAsia="宋体" w:cs="宋体"/>
          <w:b w:val="0"/>
          <w:bCs w:val="0"/>
          <w:sz w:val="32"/>
          <w:szCs w:val="32"/>
          <w:shd w:val="clear" w:color="auto" w:fill="FFFFFF"/>
          <w:lang w:val="en-US" w:eastAsia="zh-CN"/>
        </w:rPr>
        <w:t>份，通知公告等</w:t>
      </w:r>
      <w:r>
        <w:rPr>
          <w:rFonts w:hint="eastAsia" w:ascii="宋体" w:hAnsi="宋体" w:cs="宋体"/>
          <w:b w:val="0"/>
          <w:bCs w:val="0"/>
          <w:sz w:val="32"/>
          <w:szCs w:val="32"/>
          <w:shd w:val="clear" w:color="auto" w:fill="FFFFFF"/>
          <w:lang w:val="en-US" w:eastAsia="zh-CN"/>
        </w:rPr>
        <w:t>27</w:t>
      </w:r>
      <w:r>
        <w:rPr>
          <w:rFonts w:hint="eastAsia" w:ascii="宋体" w:hAnsi="宋体" w:eastAsia="宋体" w:cs="宋体"/>
          <w:b w:val="0"/>
          <w:bCs w:val="0"/>
          <w:sz w:val="32"/>
          <w:szCs w:val="32"/>
          <w:shd w:val="clear" w:color="auto" w:fill="FFFFFF"/>
          <w:lang w:val="en-US" w:eastAsia="zh-CN"/>
        </w:rPr>
        <w:t>份，发布部门工作信息</w:t>
      </w:r>
      <w:r>
        <w:rPr>
          <w:rFonts w:hint="eastAsia" w:ascii="宋体" w:hAnsi="宋体" w:cs="宋体"/>
          <w:b w:val="0"/>
          <w:bCs w:val="0"/>
          <w:sz w:val="32"/>
          <w:szCs w:val="32"/>
          <w:shd w:val="clear" w:color="auto" w:fill="FFFFFF"/>
          <w:lang w:val="en-US" w:eastAsia="zh-CN"/>
        </w:rPr>
        <w:t>108</w:t>
      </w:r>
      <w:r>
        <w:rPr>
          <w:rFonts w:hint="eastAsia" w:ascii="宋体" w:hAnsi="宋体" w:eastAsia="宋体" w:cs="宋体"/>
          <w:b w:val="0"/>
          <w:bCs w:val="0"/>
          <w:sz w:val="32"/>
          <w:szCs w:val="32"/>
          <w:shd w:val="clear" w:color="auto" w:fill="FFFFFF"/>
          <w:lang w:val="en-US" w:eastAsia="zh-CN"/>
        </w:rPr>
        <w:t>条、政策解读政策文件3件；接市长、县长热线来件</w:t>
      </w:r>
      <w:r>
        <w:rPr>
          <w:rFonts w:hint="eastAsia" w:ascii="宋体" w:hAnsi="宋体" w:cs="宋体"/>
          <w:b w:val="0"/>
          <w:bCs w:val="0"/>
          <w:sz w:val="32"/>
          <w:szCs w:val="32"/>
          <w:shd w:val="clear" w:color="auto" w:fill="FFFFFF"/>
          <w:lang w:val="en-US" w:eastAsia="zh-CN"/>
        </w:rPr>
        <w:t>306</w:t>
      </w:r>
      <w:r>
        <w:rPr>
          <w:rFonts w:hint="eastAsia" w:ascii="宋体" w:hAnsi="宋体" w:eastAsia="宋体" w:cs="宋体"/>
          <w:b w:val="0"/>
          <w:bCs w:val="0"/>
          <w:sz w:val="32"/>
          <w:szCs w:val="32"/>
          <w:shd w:val="clear" w:color="auto" w:fill="FFFFFF"/>
          <w:lang w:val="en-US" w:eastAsia="zh-CN"/>
        </w:rPr>
        <w:t>份，办结率100%。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drawing>
          <wp:anchor distT="0" distB="0" distL="114300" distR="114300" simplePos="0" relativeHeight="251659264" behindDoc="0" locked="0" layoutInCell="1" allowOverlap="1">
            <wp:simplePos x="0" y="0"/>
            <wp:positionH relativeFrom="column">
              <wp:posOffset>475615</wp:posOffset>
            </wp:positionH>
            <wp:positionV relativeFrom="paragraph">
              <wp:posOffset>145415</wp:posOffset>
            </wp:positionV>
            <wp:extent cx="4876800" cy="3562350"/>
            <wp:effectExtent l="0" t="0" r="0" b="0"/>
            <wp:wrapSquare wrapText="bothSides"/>
            <wp:docPr id="2" name="图片 2" descr="3af9952c102456537666d7631b23c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af9952c102456537666d7631b23cd9"/>
                    <pic:cNvPicPr>
                      <a:picLocks noChangeAspect="1"/>
                    </pic:cNvPicPr>
                  </pic:nvPicPr>
                  <pic:blipFill>
                    <a:blip r:embed="rId4"/>
                    <a:stretch>
                      <a:fillRect/>
                    </a:stretch>
                  </pic:blipFill>
                  <pic:spPr>
                    <a:xfrm>
                      <a:off x="0" y="0"/>
                      <a:ext cx="4876800" cy="35623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kern w:val="2"/>
          <w:sz w:val="32"/>
          <w:szCs w:val="32"/>
          <w:shd w:val="clear" w:color="auto" w:fill="FFFFFF"/>
          <w:lang w:val="en-US" w:eastAsia="zh-CN" w:bidi="ar-SA"/>
        </w:rPr>
      </w:pPr>
      <w:r>
        <w:rPr>
          <w:rFonts w:hint="eastAsia" w:ascii="宋体" w:hAnsi="宋体" w:eastAsia="宋体" w:cs="宋体"/>
          <w:b w:val="0"/>
          <w:bCs w:val="0"/>
          <w:kern w:val="2"/>
          <w:sz w:val="32"/>
          <w:szCs w:val="32"/>
          <w:shd w:val="clear" w:color="auto" w:fill="FFFFFF"/>
          <w:lang w:val="en-US" w:eastAsia="zh-CN" w:bidi="ar-SA"/>
        </w:rPr>
        <w:t>（二）依申请公开情况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kern w:val="2"/>
          <w:sz w:val="32"/>
          <w:szCs w:val="32"/>
          <w:shd w:val="clear" w:color="auto" w:fill="FFFFFF"/>
          <w:lang w:val="en-US" w:eastAsia="zh-CN" w:bidi="ar-SA"/>
        </w:rPr>
      </w:pPr>
      <w:r>
        <w:rPr>
          <w:rFonts w:hint="eastAsia" w:ascii="宋体" w:hAnsi="宋体" w:eastAsia="宋体" w:cs="宋体"/>
          <w:b w:val="0"/>
          <w:bCs w:val="0"/>
          <w:kern w:val="2"/>
          <w:sz w:val="32"/>
          <w:szCs w:val="32"/>
          <w:shd w:val="clear" w:color="auto" w:fill="FFFFFF"/>
          <w:lang w:val="en-US" w:eastAsia="zh-CN" w:bidi="ar-SA"/>
        </w:rPr>
        <w:t>依据《中华人民共和国政府信息公开条例》，结合工作实际，制定依申请公开指南，并根据变动情况及时更新。本年度我局共受理依申请公开</w:t>
      </w:r>
      <w:r>
        <w:rPr>
          <w:rFonts w:hint="eastAsia" w:ascii="宋体" w:hAnsi="宋体" w:cs="宋体"/>
          <w:b w:val="0"/>
          <w:bCs w:val="0"/>
          <w:kern w:val="2"/>
          <w:sz w:val="32"/>
          <w:szCs w:val="32"/>
          <w:shd w:val="clear" w:color="auto" w:fill="FFFFFF"/>
          <w:lang w:val="en-US" w:eastAsia="zh-CN" w:bidi="ar-SA"/>
        </w:rPr>
        <w:t>1</w:t>
      </w:r>
      <w:r>
        <w:rPr>
          <w:rFonts w:hint="eastAsia" w:ascii="宋体" w:hAnsi="宋体" w:eastAsia="宋体" w:cs="宋体"/>
          <w:b w:val="0"/>
          <w:bCs w:val="0"/>
          <w:kern w:val="2"/>
          <w:sz w:val="32"/>
          <w:szCs w:val="32"/>
          <w:shd w:val="clear" w:color="auto" w:fill="FFFFFF"/>
          <w:lang w:val="en-US" w:eastAsia="zh-CN" w:bidi="ar-SA"/>
        </w:rPr>
        <w:t>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kern w:val="2"/>
          <w:sz w:val="32"/>
          <w:szCs w:val="32"/>
          <w:shd w:val="clear" w:color="auto" w:fill="FFFFFF"/>
          <w:lang w:val="en-US" w:eastAsia="zh-CN" w:bidi="ar-SA"/>
        </w:rPr>
      </w:pPr>
      <w:r>
        <w:rPr>
          <w:rFonts w:hint="eastAsia" w:ascii="宋体" w:hAnsi="宋体" w:eastAsia="宋体" w:cs="宋体"/>
          <w:b w:val="0"/>
          <w:bCs w:val="0"/>
          <w:kern w:val="2"/>
          <w:sz w:val="32"/>
          <w:szCs w:val="32"/>
          <w:shd w:val="clear" w:color="auto" w:fill="FFFFFF"/>
          <w:lang w:val="en-US" w:eastAsia="zh-CN" w:bidi="ar-SA"/>
        </w:rPr>
        <w:t>（三）政府信息管理情况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kern w:val="2"/>
          <w:sz w:val="32"/>
          <w:szCs w:val="32"/>
          <w:shd w:val="clear" w:color="auto" w:fill="FFFFFF"/>
          <w:lang w:val="en-US" w:eastAsia="zh-CN" w:bidi="ar-SA"/>
        </w:rPr>
      </w:pPr>
      <w:r>
        <w:rPr>
          <w:rFonts w:hint="eastAsia" w:ascii="宋体" w:hAnsi="宋体" w:eastAsia="宋体" w:cs="宋体"/>
          <w:b w:val="0"/>
          <w:bCs w:val="0"/>
          <w:kern w:val="2"/>
          <w:sz w:val="32"/>
          <w:szCs w:val="32"/>
          <w:shd w:val="clear" w:color="auto" w:fill="FFFFFF"/>
          <w:lang w:val="en-US" w:eastAsia="zh-CN" w:bidi="ar-SA"/>
        </w:rPr>
        <w:t>根据县政府信息公开工作的具体要求，结合我局工作实际，明确了全局政务公开目录类别、目录名称、公开主体等，进一步突出政务公开重点工作内容。对工作中存在的问题分管领导及时研究部署解决，形成各负其责、相互配合、齐抓共管的工作局面。严格落实信息公开源头认定和信息公开保密审查制度，并针对政策性文件做到解读方案材料与政策文件同部署同发布，切实执行“双随机一公开”制度，按照明确任务、严格时限等要求，标准化、规范化做好政府信息公开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kern w:val="2"/>
          <w:sz w:val="32"/>
          <w:szCs w:val="32"/>
          <w:shd w:val="clear" w:color="auto" w:fill="FFFFFF"/>
          <w:lang w:val="en-US" w:eastAsia="zh-CN" w:bidi="ar-SA"/>
        </w:rPr>
      </w:pPr>
      <w:r>
        <w:rPr>
          <w:rFonts w:hint="eastAsia" w:ascii="宋体" w:hAnsi="宋体" w:eastAsia="宋体" w:cs="宋体"/>
          <w:b w:val="0"/>
          <w:bCs w:val="0"/>
          <w:kern w:val="2"/>
          <w:sz w:val="32"/>
          <w:szCs w:val="32"/>
          <w:shd w:val="clear" w:color="auto" w:fill="FFFFFF"/>
          <w:lang w:val="en-US" w:eastAsia="zh-CN" w:bidi="ar-SA"/>
        </w:rPr>
        <w:t>（四）政府信息公开平台建设情况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kern w:val="2"/>
          <w:sz w:val="32"/>
          <w:szCs w:val="32"/>
          <w:shd w:val="clear" w:color="auto" w:fill="FFFFFF"/>
          <w:lang w:val="en-US" w:eastAsia="zh-CN" w:bidi="ar-SA"/>
        </w:rPr>
      </w:pPr>
      <w:r>
        <w:rPr>
          <w:rFonts w:hint="eastAsia" w:ascii="宋体" w:hAnsi="宋体" w:eastAsia="宋体" w:cs="宋体"/>
          <w:b w:val="0"/>
          <w:bCs w:val="0"/>
          <w:kern w:val="2"/>
          <w:sz w:val="32"/>
          <w:szCs w:val="32"/>
          <w:shd w:val="clear" w:color="auto" w:fill="FFFFFF"/>
          <w:lang w:val="en-US" w:eastAsia="zh-CN" w:bidi="ar-SA"/>
        </w:rPr>
        <w:t>按照“方便群众办事、便于群众知情、利于群众监督”的原则，我局充分利用县政府门户网站、县政务服务中心农业农村局窗口及农业农村局宣传栏等多种公开渠道及时开展政府信息公开工作</w:t>
      </w:r>
      <w:r>
        <w:rPr>
          <w:rFonts w:hint="eastAsia" w:ascii="宋体" w:hAnsi="宋体" w:cs="宋体"/>
          <w:b w:val="0"/>
          <w:bCs w:val="0"/>
          <w:kern w:val="2"/>
          <w:sz w:val="32"/>
          <w:szCs w:val="32"/>
          <w:shd w:val="clear" w:color="auto" w:fill="FFFFFF"/>
          <w:lang w:val="en-US" w:eastAsia="zh-CN" w:bidi="ar-SA"/>
        </w:rPr>
        <w:t>，</w:t>
      </w:r>
      <w:r>
        <w:rPr>
          <w:rFonts w:hint="eastAsia" w:ascii="宋体" w:hAnsi="宋体" w:eastAsia="宋体" w:cs="宋体"/>
          <w:b w:val="0"/>
          <w:bCs w:val="0"/>
          <w:color w:val="auto"/>
          <w:kern w:val="2"/>
          <w:sz w:val="32"/>
          <w:szCs w:val="32"/>
          <w:shd w:val="clear" w:color="auto" w:fill="FFFFFF"/>
          <w:lang w:val="en-US" w:eastAsia="zh-CN" w:bidi="ar-SA"/>
        </w:rPr>
        <w:t>扩大信息公开的渠道</w:t>
      </w:r>
      <w:r>
        <w:rPr>
          <w:rFonts w:hint="eastAsia" w:ascii="宋体" w:hAnsi="宋体" w:eastAsia="宋体" w:cs="宋体"/>
          <w:b w:val="0"/>
          <w:bCs w:val="0"/>
          <w:kern w:val="2"/>
          <w:sz w:val="32"/>
          <w:szCs w:val="32"/>
          <w:shd w:val="clear" w:color="auto" w:fill="FFFFFF"/>
          <w:lang w:val="en-US" w:eastAsia="zh-CN" w:bidi="ar-SA"/>
        </w:rPr>
        <w:t>。加强政策解读和回应，扩大公开范围，积极推进政府信息公开，及时将业务办理流程，设立依据、办理程序、时限要求、办理部门、办理地点、责任人员、联系电话等详细信息公开，并把群众监督、投诉的途径、举报电话等相关信息在县政府网站进行了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kern w:val="2"/>
          <w:sz w:val="32"/>
          <w:szCs w:val="32"/>
          <w:shd w:val="clear" w:color="auto" w:fill="FFFFFF"/>
          <w:lang w:val="en-US" w:eastAsia="zh-CN" w:bidi="ar-SA"/>
        </w:rPr>
      </w:pPr>
      <w:r>
        <w:rPr>
          <w:rFonts w:hint="eastAsia" w:ascii="宋体" w:hAnsi="宋体" w:cs="宋体"/>
          <w:b w:val="0"/>
          <w:bCs w:val="0"/>
          <w:kern w:val="2"/>
          <w:sz w:val="32"/>
          <w:szCs w:val="32"/>
          <w:shd w:val="clear" w:color="auto" w:fill="FFFFFF"/>
          <w:lang w:val="en-US" w:eastAsia="zh-CN" w:bidi="ar-SA"/>
        </w:rPr>
        <w:t>（</w:t>
      </w:r>
      <w:r>
        <w:rPr>
          <w:rFonts w:hint="eastAsia" w:ascii="宋体" w:hAnsi="宋体" w:eastAsia="宋体" w:cs="宋体"/>
          <w:b w:val="0"/>
          <w:bCs w:val="0"/>
          <w:kern w:val="2"/>
          <w:sz w:val="32"/>
          <w:szCs w:val="32"/>
          <w:shd w:val="clear" w:color="auto" w:fill="FFFFFF"/>
          <w:lang w:val="en-US" w:eastAsia="zh-CN" w:bidi="ar-SA"/>
        </w:rPr>
        <w:t>五</w:t>
      </w:r>
      <w:r>
        <w:rPr>
          <w:rFonts w:hint="eastAsia" w:ascii="宋体" w:hAnsi="宋体" w:cs="宋体"/>
          <w:b w:val="0"/>
          <w:bCs w:val="0"/>
          <w:kern w:val="2"/>
          <w:sz w:val="32"/>
          <w:szCs w:val="32"/>
          <w:shd w:val="clear" w:color="auto" w:fill="FFFFFF"/>
          <w:lang w:val="en-US" w:eastAsia="zh-CN" w:bidi="ar-SA"/>
        </w:rPr>
        <w:t>）</w:t>
      </w:r>
      <w:r>
        <w:rPr>
          <w:rFonts w:hint="eastAsia" w:ascii="宋体" w:hAnsi="宋体" w:eastAsia="宋体" w:cs="宋体"/>
          <w:b w:val="0"/>
          <w:bCs w:val="0"/>
          <w:kern w:val="2"/>
          <w:sz w:val="32"/>
          <w:szCs w:val="32"/>
          <w:shd w:val="clear" w:color="auto" w:fill="FFFFFF"/>
          <w:lang w:val="en-US" w:eastAsia="zh-CN" w:bidi="ar-SA"/>
        </w:rPr>
        <w:t>监督保障情况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b w:val="0"/>
          <w:bCs w:val="0"/>
          <w:kern w:val="2"/>
          <w:sz w:val="32"/>
          <w:szCs w:val="32"/>
          <w:shd w:val="clear" w:color="auto" w:fill="FFFFFF"/>
          <w:lang w:val="en-US" w:eastAsia="zh-CN" w:bidi="ar-SA"/>
        </w:rPr>
        <w:t>202</w:t>
      </w:r>
      <w:r>
        <w:rPr>
          <w:rFonts w:hint="eastAsia" w:ascii="宋体" w:hAnsi="宋体" w:cs="宋体"/>
          <w:b w:val="0"/>
          <w:bCs w:val="0"/>
          <w:kern w:val="2"/>
          <w:sz w:val="32"/>
          <w:szCs w:val="32"/>
          <w:shd w:val="clear" w:color="auto" w:fill="FFFFFF"/>
          <w:lang w:val="en-US" w:eastAsia="zh-CN" w:bidi="ar-SA"/>
        </w:rPr>
        <w:t>3</w:t>
      </w:r>
      <w:r>
        <w:rPr>
          <w:rFonts w:hint="eastAsia" w:ascii="宋体" w:hAnsi="宋体" w:eastAsia="宋体" w:cs="宋体"/>
          <w:b w:val="0"/>
          <w:bCs w:val="0"/>
          <w:kern w:val="2"/>
          <w:sz w:val="32"/>
          <w:szCs w:val="32"/>
          <w:shd w:val="clear" w:color="auto" w:fill="FFFFFF"/>
          <w:lang w:val="en-US" w:eastAsia="zh-CN" w:bidi="ar-SA"/>
        </w:rPr>
        <w:t>年县农业农村局继续将政府信息公开情况纳入单位重点工作任务，严格考核各科室各单位政府信息公开工作，确保信息公开工作常态化开展。</w:t>
      </w:r>
    </w:p>
    <w:p>
      <w:pPr>
        <w:ind w:firstLine="640" w:firstLineChars="200"/>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18185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58</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w:t>
            </w:r>
          </w:p>
        </w:tc>
      </w:tr>
    </w:tbl>
    <w:p>
      <w:pPr>
        <w:jc w:val="both"/>
        <w:rPr>
          <w:rFonts w:hint="eastAsia" w:ascii="宋体" w:hAnsi="宋体" w:eastAsia="宋体" w:cs="宋体"/>
          <w:sz w:val="44"/>
          <w:szCs w:val="44"/>
          <w:lang w:eastAsia="zh-CN"/>
        </w:rPr>
      </w:pPr>
    </w:p>
    <w:p>
      <w:pPr>
        <w:ind w:firstLine="640" w:firstLineChars="200"/>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（本列数据的勾稽关系为：第一项加第二项之和，</w:t>
            </w:r>
          </w:p>
          <w:p>
            <w:pPr>
              <w:widowControl/>
              <w:jc w:val="center"/>
              <w:rPr>
                <w:rFonts w:hint="eastAsia" w:ascii="宋体" w:hAnsi="宋体" w:eastAsia="宋体" w:cs="宋体"/>
                <w:szCs w:val="21"/>
              </w:rPr>
            </w:pPr>
            <w:r>
              <w:rPr>
                <w:rFonts w:hint="eastAsia" w:ascii="宋体" w:hAnsi="宋体" w:eastAsia="宋体" w:cs="宋体"/>
                <w:kern w:val="0"/>
                <w:szCs w:val="21"/>
              </w:rPr>
              <w:t>等于第三项加第四项之和）</w:t>
            </w:r>
          </w:p>
        </w:tc>
        <w:tc>
          <w:tcPr>
            <w:tcW w:w="4820" w:type="dxa"/>
            <w:gridSpan w:val="7"/>
            <w:noWrap w:val="0"/>
            <w:tcMar>
              <w:left w:w="108" w:type="dxa"/>
              <w:right w:w="108" w:type="dxa"/>
            </w:tcMar>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pPr>
              <w:jc w:val="center"/>
              <w:rPr>
                <w:rFonts w:hint="eastAsia" w:ascii="宋体" w:hAnsi="宋体" w:eastAsia="宋体" w:cs="宋体"/>
                <w:szCs w:val="21"/>
              </w:rPr>
            </w:pPr>
          </w:p>
        </w:tc>
        <w:tc>
          <w:tcPr>
            <w:tcW w:w="829" w:type="dxa"/>
            <w:vMerge w:val="restart"/>
            <w:noWrap w:val="0"/>
            <w:tcMar>
              <w:left w:w="108" w:type="dxa"/>
              <w:right w:w="108" w:type="dxa"/>
            </w:tcMar>
            <w:vAlign w:val="center"/>
          </w:tcPr>
          <w:p>
            <w:pPr>
              <w:widowControl/>
              <w:jc w:val="center"/>
              <w:rPr>
                <w:rFonts w:hint="eastAsia" w:ascii="宋体" w:hAnsi="宋体" w:eastAsia="宋体" w:cs="宋体"/>
                <w:szCs w:val="21"/>
              </w:rPr>
            </w:pPr>
            <w:r>
              <w:rPr>
                <w:rFonts w:hint="eastAsia" w:ascii="宋体" w:hAnsi="宋体" w:eastAsia="宋体" w:cs="宋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hint="eastAsia" w:ascii="宋体" w:hAnsi="宋体" w:eastAsia="宋体" w:cs="宋体"/>
                <w:szCs w:val="21"/>
              </w:rPr>
            </w:pPr>
            <w:r>
              <w:rPr>
                <w:rFonts w:hint="eastAsia" w:ascii="宋体" w:hAnsi="宋体" w:eastAsia="宋体" w:cs="宋体"/>
                <w:kern w:val="0"/>
                <w:szCs w:val="21"/>
              </w:rPr>
              <w:t>法人或其他组织</w:t>
            </w:r>
          </w:p>
        </w:tc>
        <w:tc>
          <w:tcPr>
            <w:tcW w:w="851" w:type="dxa"/>
            <w:vMerge w:val="restart"/>
            <w:noWrap w:val="0"/>
            <w:tcMar>
              <w:left w:w="108" w:type="dxa"/>
              <w:right w:w="108" w:type="dxa"/>
            </w:tcMar>
            <w:vAlign w:val="center"/>
          </w:tcPr>
          <w:p>
            <w:pPr>
              <w:widowControl/>
              <w:jc w:val="center"/>
              <w:rPr>
                <w:rFonts w:hint="eastAsia" w:ascii="宋体" w:hAnsi="宋体" w:eastAsia="宋体" w:cs="宋体"/>
                <w:szCs w:val="21"/>
              </w:rPr>
            </w:pPr>
            <w:r>
              <w:rPr>
                <w:rFonts w:hint="eastAsia" w:ascii="宋体" w:hAnsi="宋体" w:eastAsia="宋体" w:cs="宋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pPr>
              <w:jc w:val="center"/>
              <w:rPr>
                <w:rFonts w:hint="eastAsia" w:ascii="宋体" w:hAnsi="宋体" w:eastAsia="宋体" w:cs="宋体"/>
                <w:szCs w:val="21"/>
              </w:rPr>
            </w:pPr>
          </w:p>
        </w:tc>
        <w:tc>
          <w:tcPr>
            <w:tcW w:w="829" w:type="dxa"/>
            <w:vMerge w:val="continue"/>
            <w:noWrap w:val="0"/>
            <w:tcMar>
              <w:left w:w="108" w:type="dxa"/>
              <w:right w:w="108" w:type="dxa"/>
            </w:tcMar>
            <w:vAlign w:val="center"/>
          </w:tcPr>
          <w:p>
            <w:pPr>
              <w:jc w:val="center"/>
              <w:rPr>
                <w:rFonts w:hint="eastAsia" w:ascii="宋体" w:hAnsi="宋体" w:eastAsia="宋体" w:cs="宋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hint="eastAsia" w:ascii="宋体" w:hAnsi="宋体" w:eastAsia="宋体" w:cs="宋体"/>
                <w:szCs w:val="21"/>
              </w:rPr>
            </w:pPr>
            <w:r>
              <w:rPr>
                <w:rFonts w:hint="eastAsia" w:ascii="宋体" w:hAnsi="宋体" w:eastAsia="宋体" w:cs="宋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hint="eastAsia" w:ascii="宋体" w:hAnsi="宋体" w:eastAsia="宋体" w:cs="宋体"/>
                <w:szCs w:val="21"/>
              </w:rPr>
            </w:pPr>
            <w:r>
              <w:rPr>
                <w:rFonts w:hint="eastAsia" w:ascii="宋体" w:hAnsi="宋体" w:eastAsia="宋体" w:cs="宋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hint="eastAsia" w:ascii="宋体" w:hAnsi="宋体" w:eastAsia="宋体" w:cs="宋体"/>
                <w:szCs w:val="21"/>
              </w:rPr>
            </w:pPr>
            <w:r>
              <w:rPr>
                <w:rFonts w:hint="eastAsia" w:ascii="宋体" w:hAnsi="宋体" w:eastAsia="宋体" w:cs="宋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hint="eastAsia" w:ascii="宋体" w:hAnsi="宋体" w:eastAsia="宋体" w:cs="宋体"/>
                <w:szCs w:val="21"/>
              </w:rPr>
            </w:pPr>
            <w:r>
              <w:rPr>
                <w:rFonts w:hint="eastAsia" w:ascii="宋体" w:hAnsi="宋体" w:eastAsia="宋体" w:cs="宋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hint="eastAsia" w:ascii="宋体" w:hAnsi="宋体" w:eastAsia="宋体" w:cs="宋体"/>
                <w:szCs w:val="21"/>
              </w:rPr>
            </w:pPr>
            <w:r>
              <w:rPr>
                <w:rFonts w:hint="eastAsia" w:ascii="宋体" w:hAnsi="宋体" w:eastAsia="宋体" w:cs="宋体"/>
                <w:kern w:val="0"/>
                <w:szCs w:val="21"/>
              </w:rPr>
              <w:t>其他</w:t>
            </w:r>
          </w:p>
        </w:tc>
        <w:tc>
          <w:tcPr>
            <w:tcW w:w="851" w:type="dxa"/>
            <w:vMerge w:val="continue"/>
            <w:noWrap w:val="0"/>
            <w:tcMar>
              <w:left w:w="108" w:type="dxa"/>
              <w:right w:w="108" w:type="dxa"/>
            </w:tcMar>
            <w:vAlign w:val="center"/>
          </w:tcPr>
          <w:p>
            <w:pPr>
              <w:jc w:val="center"/>
              <w:rPr>
                <w:rFonts w:hint="eastAsia" w:ascii="宋体" w:hAnsi="宋体" w:eastAsia="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hint="eastAsia" w:ascii="宋体" w:hAnsi="宋体" w:eastAsia="宋体" w:cs="宋体"/>
                <w:szCs w:val="21"/>
              </w:rPr>
            </w:pPr>
            <w:r>
              <w:rPr>
                <w:rFonts w:hint="eastAsia" w:ascii="宋体" w:hAnsi="宋体" w:eastAsia="宋体" w:cs="宋体"/>
                <w:kern w:val="0"/>
                <w:szCs w:val="21"/>
              </w:rPr>
              <w:t>一、本年新收政府信息公开申请数量</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cs="宋体"/>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pPr>
              <w:widowControl/>
              <w:rPr>
                <w:rFonts w:hint="eastAsia" w:ascii="宋体" w:hAnsi="宋体" w:eastAsia="宋体" w:cs="宋体"/>
                <w:szCs w:val="21"/>
              </w:rPr>
            </w:pPr>
            <w:r>
              <w:rPr>
                <w:rFonts w:hint="eastAsia" w:ascii="宋体" w:hAnsi="宋体" w:eastAsia="宋体" w:cs="宋体"/>
                <w:kern w:val="0"/>
                <w:szCs w:val="21"/>
              </w:rPr>
              <w:t>二、上年结转政府信息公开申请数量</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pPr>
              <w:widowControl/>
              <w:spacing w:after="180"/>
              <w:rPr>
                <w:rFonts w:hint="eastAsia" w:ascii="宋体" w:hAnsi="宋体" w:eastAsia="宋体" w:cs="宋体"/>
                <w:szCs w:val="21"/>
              </w:rPr>
            </w:pPr>
            <w:r>
              <w:rPr>
                <w:rFonts w:hint="eastAsia" w:ascii="宋体" w:hAnsi="宋体" w:eastAsia="宋体" w:cs="宋体"/>
                <w:kern w:val="0"/>
                <w:szCs w:val="21"/>
              </w:rPr>
              <w:t>三、本年度办理结果</w:t>
            </w:r>
          </w:p>
        </w:tc>
        <w:tc>
          <w:tcPr>
            <w:tcW w:w="4677" w:type="dxa"/>
            <w:gridSpan w:val="2"/>
            <w:noWrap w:val="0"/>
            <w:tcMar>
              <w:left w:w="108" w:type="dxa"/>
              <w:right w:w="108" w:type="dxa"/>
            </w:tcMar>
            <w:vAlign w:val="center"/>
          </w:tcPr>
          <w:p>
            <w:pPr>
              <w:widowControl/>
              <w:rPr>
                <w:rFonts w:hint="eastAsia" w:ascii="宋体" w:hAnsi="宋体" w:eastAsia="宋体" w:cs="宋体"/>
                <w:szCs w:val="21"/>
              </w:rPr>
            </w:pPr>
            <w:r>
              <w:rPr>
                <w:rFonts w:hint="eastAsia" w:ascii="宋体" w:hAnsi="宋体" w:eastAsia="宋体" w:cs="宋体"/>
                <w:kern w:val="0"/>
                <w:szCs w:val="21"/>
              </w:rPr>
              <w:t>（一）予以公开</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4677" w:type="dxa"/>
            <w:gridSpan w:val="2"/>
            <w:noWrap w:val="0"/>
            <w:tcMar>
              <w:left w:w="108" w:type="dxa"/>
              <w:right w:w="108" w:type="dxa"/>
            </w:tcMar>
            <w:vAlign w:val="center"/>
          </w:tcPr>
          <w:p>
            <w:pPr>
              <w:widowControl/>
              <w:rPr>
                <w:rFonts w:hint="eastAsia" w:ascii="宋体" w:hAnsi="宋体" w:eastAsia="宋体" w:cs="宋体"/>
                <w:szCs w:val="21"/>
              </w:rPr>
            </w:pPr>
            <w:r>
              <w:rPr>
                <w:rFonts w:hint="eastAsia" w:ascii="宋体" w:hAnsi="宋体" w:eastAsia="宋体" w:cs="宋体"/>
                <w:kern w:val="0"/>
                <w:szCs w:val="21"/>
              </w:rPr>
              <w:t>（二）部分公开（区分处理的，只计这一情形，不计其他情形）</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restart"/>
            <w:noWrap w:val="0"/>
            <w:tcMar>
              <w:left w:w="108" w:type="dxa"/>
              <w:right w:w="108" w:type="dxa"/>
            </w:tcMar>
            <w:vAlign w:val="center"/>
          </w:tcPr>
          <w:p>
            <w:pPr>
              <w:widowControl/>
              <w:spacing w:line="200" w:lineRule="exact"/>
              <w:ind w:left="-107" w:leftChars="-51"/>
              <w:rPr>
                <w:rFonts w:hint="eastAsia" w:ascii="宋体" w:hAnsi="宋体" w:eastAsia="宋体" w:cs="宋体"/>
                <w:szCs w:val="21"/>
              </w:rPr>
            </w:pPr>
            <w:r>
              <w:rPr>
                <w:rFonts w:hint="eastAsia" w:ascii="宋体" w:hAnsi="宋体" w:eastAsia="宋体" w:cs="宋体"/>
                <w:kern w:val="0"/>
                <w:szCs w:val="21"/>
              </w:rPr>
              <w:t>（三）不予公开</w:t>
            </w: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1.属于国家秘密</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2.其他法律行政法规禁止公开</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3.危及“三安全一稳定”</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4.保护第三方合法权益</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5.属于三类内部事务信息</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6.属于四类过程性信息</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7.属于行政执法案卷</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8.属于行政查询事项</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restart"/>
            <w:noWrap w:val="0"/>
            <w:tcMar>
              <w:left w:w="108" w:type="dxa"/>
              <w:right w:w="108" w:type="dxa"/>
            </w:tcMar>
            <w:vAlign w:val="center"/>
          </w:tcPr>
          <w:p>
            <w:pPr>
              <w:widowControl/>
              <w:spacing w:line="200" w:lineRule="exact"/>
              <w:ind w:left="-107" w:leftChars="-51"/>
              <w:rPr>
                <w:rFonts w:hint="eastAsia" w:ascii="宋体" w:hAnsi="宋体" w:eastAsia="宋体" w:cs="宋体"/>
                <w:szCs w:val="21"/>
              </w:rPr>
            </w:pPr>
            <w:r>
              <w:rPr>
                <w:rFonts w:hint="eastAsia" w:ascii="宋体" w:hAnsi="宋体" w:eastAsia="宋体" w:cs="宋体"/>
                <w:kern w:val="0"/>
                <w:szCs w:val="21"/>
              </w:rPr>
              <w:t>（四）无法提供</w:t>
            </w: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1.本机关不掌握相关政府信息</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cs="宋体"/>
                <w:szCs w:val="21"/>
                <w:lang w:val="en-US" w:eastAsia="zh-CN"/>
              </w:rPr>
              <w:t>1</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cs="宋体"/>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ind w:left="-107" w:leftChars="-51"/>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2.没有现成信息需要另行制作</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ind w:left="-107" w:leftChars="-51"/>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3.补正后申请内容仍不明确</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restart"/>
            <w:noWrap w:val="0"/>
            <w:tcMar>
              <w:left w:w="108" w:type="dxa"/>
              <w:right w:w="108" w:type="dxa"/>
            </w:tcMar>
            <w:vAlign w:val="center"/>
          </w:tcPr>
          <w:p>
            <w:pPr>
              <w:widowControl/>
              <w:spacing w:line="200" w:lineRule="exact"/>
              <w:ind w:left="-107" w:leftChars="-51"/>
              <w:rPr>
                <w:rFonts w:hint="eastAsia" w:ascii="宋体" w:hAnsi="宋体" w:eastAsia="宋体" w:cs="宋体"/>
                <w:szCs w:val="21"/>
              </w:rPr>
            </w:pPr>
            <w:r>
              <w:rPr>
                <w:rFonts w:hint="eastAsia" w:ascii="宋体" w:hAnsi="宋体" w:eastAsia="宋体" w:cs="宋体"/>
                <w:kern w:val="0"/>
                <w:szCs w:val="21"/>
              </w:rPr>
              <w:t>（五）不予处理</w:t>
            </w: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1.信访举报投诉类申请</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kern w:val="0"/>
                <w:szCs w:val="21"/>
              </w:rPr>
            </w:pPr>
            <w:r>
              <w:rPr>
                <w:rFonts w:hint="eastAsia" w:ascii="宋体" w:hAnsi="宋体" w:eastAsia="宋体" w:cs="宋体"/>
                <w:kern w:val="0"/>
                <w:szCs w:val="21"/>
              </w:rPr>
              <w:t>2.重复申请</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szCs w:val="21"/>
              </w:rPr>
            </w:pPr>
            <w:r>
              <w:rPr>
                <w:rFonts w:hint="eastAsia" w:ascii="宋体" w:hAnsi="宋体" w:eastAsia="宋体" w:cs="宋体"/>
                <w:kern w:val="0"/>
                <w:szCs w:val="21"/>
              </w:rPr>
              <w:t>3.要求提供公开出版物</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200" w:lineRule="exact"/>
              <w:rPr>
                <w:rFonts w:hint="eastAsia" w:ascii="宋体" w:hAnsi="宋体" w:eastAsia="宋体" w:cs="宋体"/>
                <w:szCs w:val="21"/>
              </w:rPr>
            </w:pPr>
            <w:r>
              <w:rPr>
                <w:rFonts w:hint="eastAsia" w:ascii="宋体" w:hAnsi="宋体" w:eastAsia="宋体" w:cs="宋体"/>
                <w:kern w:val="0"/>
                <w:szCs w:val="21"/>
              </w:rPr>
              <w:t>4.无正当理由大量反复申请</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spacing w:line="200" w:lineRule="exact"/>
              <w:rPr>
                <w:rFonts w:hint="eastAsia" w:ascii="宋体" w:hAnsi="宋体" w:eastAsia="宋体" w:cs="宋体"/>
                <w:szCs w:val="21"/>
              </w:rPr>
            </w:pPr>
          </w:p>
        </w:tc>
        <w:tc>
          <w:tcPr>
            <w:tcW w:w="2976" w:type="dxa"/>
            <w:noWrap w:val="0"/>
            <w:tcMar>
              <w:left w:w="108" w:type="dxa"/>
              <w:right w:w="108" w:type="dxa"/>
            </w:tcMar>
            <w:vAlign w:val="center"/>
          </w:tcPr>
          <w:p>
            <w:pPr>
              <w:widowControl/>
              <w:spacing w:line="300" w:lineRule="exact"/>
              <w:rPr>
                <w:rFonts w:hint="eastAsia" w:ascii="宋体" w:hAnsi="宋体" w:eastAsia="宋体" w:cs="宋体"/>
                <w:kern w:val="0"/>
                <w:szCs w:val="21"/>
              </w:rPr>
            </w:pPr>
            <w:r>
              <w:rPr>
                <w:rFonts w:hint="eastAsia" w:ascii="宋体" w:hAnsi="宋体" w:eastAsia="宋体" w:cs="宋体"/>
                <w:kern w:val="0"/>
                <w:szCs w:val="21"/>
              </w:rPr>
              <w:t>5.要求行政机关确认或重新</w:t>
            </w:r>
          </w:p>
          <w:p>
            <w:pPr>
              <w:widowControl/>
              <w:spacing w:line="300" w:lineRule="exact"/>
              <w:ind w:firstLine="210" w:firstLineChars="100"/>
              <w:rPr>
                <w:rFonts w:hint="eastAsia" w:ascii="宋体" w:hAnsi="宋体" w:eastAsia="宋体" w:cs="宋体"/>
                <w:szCs w:val="21"/>
              </w:rPr>
            </w:pPr>
            <w:r>
              <w:rPr>
                <w:rFonts w:hint="eastAsia" w:ascii="宋体" w:hAnsi="宋体" w:eastAsia="宋体" w:cs="宋体"/>
                <w:kern w:val="0"/>
                <w:szCs w:val="21"/>
              </w:rPr>
              <w:t>出具已获取信息</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restart"/>
            <w:noWrap w:val="0"/>
            <w:tcMar>
              <w:left w:w="108" w:type="dxa"/>
              <w:right w:w="108" w:type="dxa"/>
            </w:tcMar>
            <w:vAlign w:val="center"/>
          </w:tcPr>
          <w:p>
            <w:pPr>
              <w:widowControl/>
              <w:spacing w:line="300" w:lineRule="exact"/>
              <w:rPr>
                <w:rFonts w:hint="eastAsia" w:ascii="宋体" w:hAnsi="宋体" w:eastAsia="宋体" w:cs="宋体"/>
                <w:kern w:val="0"/>
                <w:szCs w:val="21"/>
              </w:rPr>
            </w:pPr>
            <w:r>
              <w:rPr>
                <w:rFonts w:hint="eastAsia" w:ascii="宋体" w:hAnsi="宋体" w:eastAsia="宋体" w:cs="宋体"/>
                <w:kern w:val="0"/>
                <w:szCs w:val="21"/>
              </w:rPr>
              <w:t>（六）其他处理</w:t>
            </w:r>
          </w:p>
        </w:tc>
        <w:tc>
          <w:tcPr>
            <w:tcW w:w="2976" w:type="dxa"/>
            <w:noWrap w:val="0"/>
            <w:vAlign w:val="center"/>
          </w:tcPr>
          <w:p>
            <w:pPr>
              <w:widowControl/>
              <w:spacing w:line="300" w:lineRule="exact"/>
              <w:rPr>
                <w:rFonts w:hint="eastAsia" w:ascii="宋体" w:hAnsi="宋体" w:eastAsia="宋体" w:cs="宋体"/>
              </w:rPr>
            </w:pPr>
            <w:r>
              <w:rPr>
                <w:rFonts w:hint="eastAsia" w:ascii="宋体" w:hAnsi="宋体" w:eastAsia="宋体" w:cs="宋体"/>
              </w:rPr>
              <w:t>1.申请人无正当理由逾期不补正、行政机关不再处理其政府信息公开申请</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widowControl/>
              <w:spacing w:line="300" w:lineRule="exact"/>
              <w:rPr>
                <w:rFonts w:hint="eastAsia" w:ascii="宋体" w:hAnsi="宋体" w:eastAsia="宋体" w:cs="宋体"/>
                <w:kern w:val="0"/>
                <w:szCs w:val="21"/>
              </w:rPr>
            </w:pPr>
          </w:p>
        </w:tc>
        <w:tc>
          <w:tcPr>
            <w:tcW w:w="2976" w:type="dxa"/>
            <w:noWrap w:val="0"/>
            <w:vAlign w:val="center"/>
          </w:tcPr>
          <w:p>
            <w:pPr>
              <w:widowControl/>
              <w:spacing w:line="300" w:lineRule="exact"/>
              <w:rPr>
                <w:rFonts w:hint="eastAsia" w:ascii="宋体" w:hAnsi="宋体" w:eastAsia="宋体" w:cs="宋体"/>
                <w:kern w:val="0"/>
                <w:szCs w:val="21"/>
              </w:rPr>
            </w:pPr>
            <w:r>
              <w:rPr>
                <w:rFonts w:hint="eastAsia" w:ascii="宋体" w:hAnsi="宋体" w:eastAsia="宋体" w:cs="宋体"/>
              </w:rPr>
              <w:t>2.申请人逾期未按收费通知要求缴纳费用、行政机关不再处理其政府信息公开申请</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1701" w:type="dxa"/>
            <w:vMerge w:val="continue"/>
            <w:noWrap w:val="0"/>
            <w:tcMar>
              <w:left w:w="108" w:type="dxa"/>
              <w:right w:w="108" w:type="dxa"/>
            </w:tcMar>
            <w:vAlign w:val="center"/>
          </w:tcPr>
          <w:p>
            <w:pPr>
              <w:widowControl/>
              <w:spacing w:line="300" w:lineRule="exact"/>
              <w:rPr>
                <w:rFonts w:hint="eastAsia" w:ascii="宋体" w:hAnsi="宋体" w:eastAsia="宋体" w:cs="宋体"/>
                <w:kern w:val="0"/>
                <w:szCs w:val="21"/>
              </w:rPr>
            </w:pPr>
          </w:p>
        </w:tc>
        <w:tc>
          <w:tcPr>
            <w:tcW w:w="2976" w:type="dxa"/>
            <w:noWrap w:val="0"/>
            <w:vAlign w:val="center"/>
          </w:tcPr>
          <w:p>
            <w:pPr>
              <w:widowControl/>
              <w:spacing w:line="300" w:lineRule="exact"/>
              <w:rPr>
                <w:rFonts w:hint="eastAsia" w:ascii="宋体" w:hAnsi="宋体" w:eastAsia="宋体" w:cs="宋体"/>
                <w:kern w:val="0"/>
                <w:szCs w:val="21"/>
              </w:rPr>
            </w:pPr>
            <w:r>
              <w:rPr>
                <w:rFonts w:hint="eastAsia" w:ascii="宋体" w:hAnsi="宋体" w:eastAsia="宋体" w:cs="宋体"/>
              </w:rPr>
              <w:t>3.其他</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pPr>
              <w:rPr>
                <w:rFonts w:hint="eastAsia" w:ascii="宋体" w:hAnsi="宋体" w:eastAsia="宋体" w:cs="宋体"/>
                <w:szCs w:val="21"/>
              </w:rPr>
            </w:pPr>
          </w:p>
        </w:tc>
        <w:tc>
          <w:tcPr>
            <w:tcW w:w="4677" w:type="dxa"/>
            <w:gridSpan w:val="2"/>
            <w:noWrap w:val="0"/>
            <w:tcMar>
              <w:left w:w="108" w:type="dxa"/>
              <w:right w:w="108" w:type="dxa"/>
            </w:tcMar>
            <w:vAlign w:val="center"/>
          </w:tcPr>
          <w:p>
            <w:pPr>
              <w:widowControl/>
              <w:spacing w:line="300" w:lineRule="exact"/>
              <w:rPr>
                <w:rFonts w:hint="eastAsia" w:ascii="宋体" w:hAnsi="宋体" w:eastAsia="宋体" w:cs="宋体"/>
                <w:kern w:val="0"/>
                <w:szCs w:val="21"/>
              </w:rPr>
            </w:pPr>
            <w:r>
              <w:rPr>
                <w:rFonts w:hint="eastAsia" w:ascii="宋体" w:hAnsi="宋体" w:eastAsia="宋体" w:cs="宋体"/>
                <w:kern w:val="0"/>
                <w:szCs w:val="21"/>
              </w:rPr>
              <w:t>（七）总计</w:t>
            </w:r>
          </w:p>
        </w:tc>
        <w:tc>
          <w:tcPr>
            <w:tcW w:w="829" w:type="dxa"/>
            <w:noWrap w:val="0"/>
            <w:tcMar>
              <w:left w:w="108" w:type="dxa"/>
              <w:right w:w="108" w:type="dxa"/>
            </w:tcMar>
            <w:vAlign w:val="center"/>
          </w:tcPr>
          <w:p>
            <w:pPr>
              <w:widowControl/>
              <w:spacing w:after="180" w:line="200" w:lineRule="exact"/>
              <w:jc w:val="center"/>
              <w:rPr>
                <w:rFonts w:hint="default" w:ascii="宋体" w:hAnsi="宋体" w:eastAsia="宋体" w:cs="宋体"/>
                <w:szCs w:val="21"/>
                <w:lang w:val="en-US"/>
              </w:rPr>
            </w:pPr>
            <w:r>
              <w:rPr>
                <w:rFonts w:hint="eastAsia" w:ascii="宋体" w:hAnsi="宋体" w:cs="宋体"/>
                <w:szCs w:val="21"/>
                <w:lang w:val="en-US" w:eastAsia="zh-CN"/>
              </w:rPr>
              <w:t>1</w:t>
            </w:r>
          </w:p>
        </w:tc>
        <w:tc>
          <w:tcPr>
            <w:tcW w:w="567" w:type="dxa"/>
            <w:noWrap w:val="0"/>
            <w:tcMar>
              <w:left w:w="108" w:type="dxa"/>
              <w:right w:w="108" w:type="dxa"/>
            </w:tcMar>
            <w:vAlign w:val="center"/>
          </w:tcPr>
          <w:p>
            <w:pPr>
              <w:widowControl/>
              <w:spacing w:after="180" w:line="200" w:lineRule="exact"/>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cs="宋体"/>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pPr>
              <w:widowControl/>
              <w:spacing w:line="300" w:lineRule="exact"/>
              <w:rPr>
                <w:rFonts w:hint="eastAsia" w:ascii="宋体" w:hAnsi="宋体" w:eastAsia="宋体" w:cs="宋体"/>
                <w:kern w:val="0"/>
                <w:szCs w:val="21"/>
              </w:rPr>
            </w:pPr>
            <w:r>
              <w:rPr>
                <w:rFonts w:hint="eastAsia" w:ascii="宋体" w:hAnsi="宋体" w:eastAsia="宋体" w:cs="宋体"/>
                <w:kern w:val="0"/>
                <w:szCs w:val="21"/>
              </w:rPr>
              <w:t>四、结转下年度继续办理</w:t>
            </w:r>
          </w:p>
        </w:tc>
        <w:tc>
          <w:tcPr>
            <w:tcW w:w="829"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3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708"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567"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c>
          <w:tcPr>
            <w:tcW w:w="851" w:type="dxa"/>
            <w:noWrap w:val="0"/>
            <w:tcMar>
              <w:left w:w="108" w:type="dxa"/>
              <w:right w:w="108" w:type="dxa"/>
            </w:tcMar>
            <w:vAlign w:val="center"/>
          </w:tcPr>
          <w:p>
            <w:pPr>
              <w:widowControl/>
              <w:spacing w:after="180"/>
              <w:jc w:val="center"/>
              <w:rPr>
                <w:rFonts w:hint="eastAsia" w:ascii="宋体" w:hAnsi="宋体" w:eastAsia="宋体" w:cs="宋体"/>
                <w:szCs w:val="21"/>
              </w:rPr>
            </w:pPr>
            <w:r>
              <w:rPr>
                <w:rFonts w:hint="eastAsia" w:ascii="宋体" w:hAnsi="宋体" w:eastAsia="宋体" w:cs="宋体"/>
                <w:szCs w:val="21"/>
                <w:lang w:val="en-US" w:eastAsia="zh-CN"/>
              </w:rPr>
              <w:t>0</w:t>
            </w:r>
          </w:p>
        </w:tc>
      </w:tr>
    </w:tbl>
    <w:p>
      <w:pPr>
        <w:ind w:firstLine="640" w:firstLineChars="200"/>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四、因政府信息公开工作被申请行政复议、提起行政诉讼情况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rPr>
              <w:t>维持</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rPr>
              <w:t>审结</w:t>
            </w:r>
          </w:p>
        </w:tc>
        <w:tc>
          <w:tcPr>
            <w:tcW w:w="658"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rPr>
              <w:t>总</w:t>
            </w:r>
          </w:p>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rPr>
              <w:t>计</w:t>
            </w:r>
          </w:p>
        </w:tc>
        <w:tc>
          <w:tcPr>
            <w:tcW w:w="2970" w:type="dxa"/>
            <w:gridSpan w:val="5"/>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rPr>
            </w:pPr>
            <w:bookmarkStart w:id="0" w:name="_Hlk67039688"/>
            <w:r>
              <w:rPr>
                <w:rFonts w:hint="eastAsia" w:ascii="宋体" w:hAnsi="宋体" w:eastAsia="宋体" w:cs="宋体"/>
                <w:kern w:val="0"/>
                <w:sz w:val="20"/>
                <w:szCs w:val="20"/>
              </w:rPr>
              <w:t>复议后起诉</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rPr>
            </w:pPr>
          </w:p>
        </w:tc>
        <w:tc>
          <w:tcPr>
            <w:tcW w:w="604"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rPr>
            </w:pPr>
          </w:p>
        </w:tc>
        <w:tc>
          <w:tcPr>
            <w:tcW w:w="658"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rPr>
                <w:rFonts w:hint="eastAsia" w:ascii="宋体" w:hAnsi="宋体" w:eastAsia="宋体" w:cs="宋体"/>
                <w:sz w:val="24"/>
              </w:rPr>
            </w:pPr>
          </w:p>
        </w:tc>
        <w:tc>
          <w:tcPr>
            <w:tcW w:w="5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105" w:leftChars="-50" w:right="-126" w:rightChars="-60"/>
              <w:jc w:val="center"/>
              <w:rPr>
                <w:rFonts w:hint="eastAsia" w:ascii="宋体" w:hAnsi="宋体" w:eastAsia="宋体" w:cs="宋体"/>
              </w:rPr>
            </w:pPr>
            <w:r>
              <w:rPr>
                <w:rFonts w:hint="eastAsia" w:ascii="宋体" w:hAnsi="宋体" w:eastAsia="宋体" w:cs="宋体"/>
                <w:kern w:val="0"/>
                <w:sz w:val="20"/>
                <w:szCs w:val="20"/>
              </w:rPr>
              <w:t>结果维持</w:t>
            </w:r>
          </w:p>
        </w:tc>
        <w:tc>
          <w:tcPr>
            <w:tcW w:w="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ind w:left="-86" w:leftChars="-41" w:right="-88" w:rightChars="-42"/>
              <w:jc w:val="center"/>
              <w:rPr>
                <w:rFonts w:hint="eastAsia" w:ascii="宋体" w:hAnsi="宋体" w:eastAsia="宋体" w:cs="宋体"/>
              </w:rPr>
            </w:pPr>
            <w:r>
              <w:rPr>
                <w:rFonts w:hint="eastAsia" w:ascii="宋体" w:hAnsi="宋体" w:eastAsia="宋体" w:cs="宋体"/>
                <w:kern w:val="0"/>
                <w:sz w:val="20"/>
                <w:szCs w:val="20"/>
              </w:rPr>
              <w:t>结果纠正</w:t>
            </w:r>
          </w:p>
        </w:tc>
        <w:tc>
          <w:tcPr>
            <w:tcW w:w="605" w:type="dxa"/>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rPr>
                <w:rFonts w:hint="eastAsia" w:ascii="宋体" w:hAnsi="宋体" w:eastAsia="宋体" w:cs="宋体"/>
              </w:rP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rPr>
                <w:rFonts w:hint="eastAsia" w:ascii="宋体" w:hAnsi="宋体" w:eastAsia="宋体" w:cs="宋体"/>
              </w:rP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hint="eastAsia" w:ascii="宋体" w:hAnsi="宋体" w:eastAsia="宋体" w:cs="宋体"/>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rPr>
                <w:rFonts w:hint="eastAsia" w:ascii="宋体" w:hAnsi="宋体" w:eastAsia="宋体" w:cs="宋体"/>
              </w:rP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ind w:left="-173" w:leftChars="-83" w:right="-134" w:rightChars="-64" w:hanging="1"/>
              <w:jc w:val="center"/>
              <w:rPr>
                <w:rFonts w:hint="eastAsia" w:ascii="宋体" w:hAnsi="宋体" w:eastAsia="宋体" w:cs="宋体"/>
              </w:rPr>
            </w:pPr>
            <w:r>
              <w:rPr>
                <w:rFonts w:hint="eastAsia" w:ascii="宋体" w:hAnsi="宋体" w:eastAsia="宋体" w:cs="宋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hint="eastAsia" w:ascii="宋体" w:hAnsi="宋体" w:eastAsia="宋体" w:cs="宋体"/>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eastAsia="宋体" w:cs="宋体"/>
              </w:rP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4"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4"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4"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58"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550"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5" w:type="dxa"/>
            <w:tcBorders>
              <w:top w:val="single" w:color="auto" w:sz="4" w:space="0"/>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rPr>
                <w:rFonts w:hint="eastAsia" w:ascii="宋体" w:hAnsi="宋体" w:eastAsia="宋体" w:cs="宋体"/>
                <w:lang w:val="en-US" w:eastAsia="zh-CN"/>
              </w:rPr>
            </w:pPr>
            <w:r>
              <w:rPr>
                <w:rFonts w:hint="eastAsia" w:ascii="宋体" w:hAnsi="宋体" w:eastAsia="宋体" w:cs="宋体"/>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eastAsia" w:ascii="宋体" w:hAnsi="宋体" w:eastAsia="宋体" w:cs="宋体"/>
                <w:lang w:val="en-US" w:eastAsia="zh-CN"/>
              </w:rPr>
            </w:pPr>
            <w:r>
              <w:rPr>
                <w:rFonts w:hint="eastAsia" w:ascii="宋体" w:hAnsi="宋体" w:eastAsia="宋体" w:cs="宋体"/>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202</w:t>
      </w:r>
      <w:r>
        <w:rPr>
          <w:rFonts w:hint="eastAsia" w:ascii="宋体" w:hAnsi="宋体" w:cs="宋体"/>
          <w:b w:val="0"/>
          <w:bCs w:val="0"/>
          <w:sz w:val="32"/>
          <w:szCs w:val="32"/>
          <w:shd w:val="clear" w:color="auto" w:fill="FFFFFF"/>
          <w:lang w:val="en-US" w:eastAsia="zh-CN"/>
        </w:rPr>
        <w:t>3</w:t>
      </w:r>
      <w:r>
        <w:rPr>
          <w:rFonts w:hint="eastAsia" w:ascii="宋体" w:hAnsi="宋体" w:eastAsia="宋体" w:cs="宋体"/>
          <w:b w:val="0"/>
          <w:bCs w:val="0"/>
          <w:sz w:val="32"/>
          <w:szCs w:val="32"/>
          <w:shd w:val="clear" w:color="auto" w:fill="FFFFFF"/>
          <w:lang w:val="en-US" w:eastAsia="zh-CN"/>
        </w:rPr>
        <w:t>年，我局政府信息公开工作取得了一定的成效，但也存在不足：一是内部各科室工作人员对政府信息公开认识水平不一，具体工作人员与各科室单位衔接、沟通有待</w:t>
      </w:r>
      <w:r>
        <w:rPr>
          <w:rFonts w:hint="eastAsia" w:ascii="宋体" w:hAnsi="宋体" w:cs="宋体"/>
          <w:b w:val="0"/>
          <w:bCs w:val="0"/>
          <w:sz w:val="32"/>
          <w:szCs w:val="32"/>
          <w:shd w:val="clear" w:color="auto" w:fill="FFFFFF"/>
          <w:lang w:val="en-US" w:eastAsia="zh-CN"/>
        </w:rPr>
        <w:t>进一</w:t>
      </w:r>
      <w:r>
        <w:rPr>
          <w:rFonts w:hint="eastAsia" w:ascii="宋体" w:hAnsi="宋体" w:eastAsia="宋体" w:cs="宋体"/>
          <w:b w:val="0"/>
          <w:bCs w:val="0"/>
          <w:sz w:val="32"/>
          <w:szCs w:val="32"/>
          <w:shd w:val="clear" w:color="auto" w:fill="FFFFFF"/>
          <w:lang w:val="en-US" w:eastAsia="zh-CN"/>
        </w:rPr>
        <w:t>步提高；二是信息公开的格式不统一，需要进一步规范。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在下一步的政府信息公开工作中，我局将继续按照上级有关要求，进一步</w:t>
      </w:r>
      <w:r>
        <w:rPr>
          <w:rFonts w:hint="eastAsia" w:ascii="宋体" w:hAnsi="宋体" w:cs="宋体"/>
          <w:b w:val="0"/>
          <w:bCs w:val="0"/>
          <w:sz w:val="32"/>
          <w:szCs w:val="32"/>
          <w:shd w:val="clear" w:color="auto" w:fill="FFFFFF"/>
          <w:lang w:val="en-US" w:eastAsia="zh-CN"/>
        </w:rPr>
        <w:t>加大</w:t>
      </w:r>
      <w:r>
        <w:rPr>
          <w:rFonts w:hint="eastAsia" w:ascii="宋体" w:hAnsi="宋体" w:eastAsia="宋体" w:cs="宋体"/>
          <w:b w:val="0"/>
          <w:bCs w:val="0"/>
          <w:sz w:val="32"/>
          <w:szCs w:val="32"/>
          <w:shd w:val="clear" w:color="auto" w:fill="FFFFFF"/>
          <w:lang w:val="en-US" w:eastAsia="zh-CN"/>
        </w:rPr>
        <w:t>政府信息公开工作力度，针对薄弱环节，强化意识，提升水平，加强内部科室沟通交流，</w:t>
      </w:r>
      <w:r>
        <w:rPr>
          <w:rFonts w:hint="eastAsia" w:ascii="宋体" w:hAnsi="宋体" w:cs="宋体"/>
          <w:b w:val="0"/>
          <w:bCs w:val="0"/>
          <w:sz w:val="32"/>
          <w:szCs w:val="32"/>
          <w:shd w:val="clear" w:color="auto" w:fill="FFFFFF"/>
          <w:lang w:val="en-US" w:eastAsia="zh-CN"/>
        </w:rPr>
        <w:t>增强</w:t>
      </w:r>
      <w:r>
        <w:rPr>
          <w:rFonts w:hint="eastAsia" w:ascii="宋体" w:hAnsi="宋体" w:eastAsia="宋体" w:cs="宋体"/>
          <w:b w:val="0"/>
          <w:bCs w:val="0"/>
          <w:sz w:val="32"/>
          <w:szCs w:val="32"/>
          <w:shd w:val="clear" w:color="auto" w:fill="FFFFFF"/>
          <w:lang w:val="en-US" w:eastAsia="zh-CN"/>
        </w:rPr>
        <w:t>有关工作人员信息公开意识，加强信息内容格式审核，确保公开信息的及时、准确、全面。</w:t>
      </w:r>
    </w:p>
    <w:p>
      <w:pPr>
        <w:pStyle w:val="3"/>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31"/>
          <w:szCs w:val="31"/>
          <w:shd w:val="clear" w:color="auto" w:fill="FFFFFF"/>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（一）收取信息处理费情况。202</w:t>
      </w:r>
      <w:r>
        <w:rPr>
          <w:rFonts w:hint="eastAsia" w:ascii="宋体" w:hAnsi="宋体" w:cs="宋体"/>
          <w:b w:val="0"/>
          <w:bCs w:val="0"/>
          <w:sz w:val="32"/>
          <w:szCs w:val="32"/>
          <w:shd w:val="clear" w:color="auto" w:fill="FFFFFF"/>
          <w:lang w:val="en-US" w:eastAsia="zh-CN"/>
        </w:rPr>
        <w:t>3</w:t>
      </w:r>
      <w:r>
        <w:rPr>
          <w:rFonts w:hint="eastAsia" w:ascii="宋体" w:hAnsi="宋体" w:eastAsia="宋体" w:cs="宋体"/>
          <w:b w:val="0"/>
          <w:bCs w:val="0"/>
          <w:sz w:val="32"/>
          <w:szCs w:val="32"/>
          <w:shd w:val="clear" w:color="auto" w:fill="FFFFFF"/>
          <w:lang w:val="en-US" w:eastAsia="zh-CN"/>
        </w:rPr>
        <w:t>年度，我局未收取任何信息处理费。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（二）县农业农村局落实上级年度政务公开工作要点情况。每月按时上传农业相关政策文件及工作动态，积极通过微信公众号等新媒体转发最新政策。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（三）代表建议提案办理结果公开情况。202</w:t>
      </w:r>
      <w:r>
        <w:rPr>
          <w:rFonts w:hint="eastAsia" w:ascii="宋体" w:hAnsi="宋体" w:cs="宋体"/>
          <w:b w:val="0"/>
          <w:bCs w:val="0"/>
          <w:sz w:val="32"/>
          <w:szCs w:val="32"/>
          <w:shd w:val="clear" w:color="auto" w:fill="FFFFFF"/>
          <w:lang w:val="en-US" w:eastAsia="zh-CN"/>
        </w:rPr>
        <w:t>3</w:t>
      </w:r>
      <w:r>
        <w:rPr>
          <w:rFonts w:hint="eastAsia" w:ascii="宋体" w:hAnsi="宋体" w:eastAsia="宋体" w:cs="宋体"/>
          <w:b w:val="0"/>
          <w:bCs w:val="0"/>
          <w:sz w:val="32"/>
          <w:szCs w:val="32"/>
          <w:shd w:val="clear" w:color="auto" w:fill="FFFFFF"/>
          <w:lang w:val="en-US" w:eastAsia="zh-CN"/>
        </w:rPr>
        <w:t>年度，县农业农村局共办理人大代表建议6件，政协委员提案</w:t>
      </w:r>
      <w:r>
        <w:rPr>
          <w:rFonts w:hint="eastAsia" w:ascii="宋体" w:hAnsi="宋体" w:cs="宋体"/>
          <w:b w:val="0"/>
          <w:bCs w:val="0"/>
          <w:sz w:val="32"/>
          <w:szCs w:val="32"/>
          <w:shd w:val="clear" w:color="auto" w:fill="FFFFFF"/>
          <w:lang w:val="en-US" w:eastAsia="zh-CN"/>
        </w:rPr>
        <w:t>8</w:t>
      </w:r>
      <w:r>
        <w:rPr>
          <w:rFonts w:hint="eastAsia" w:ascii="宋体" w:hAnsi="宋体" w:eastAsia="宋体" w:cs="宋体"/>
          <w:b w:val="0"/>
          <w:bCs w:val="0"/>
          <w:sz w:val="32"/>
          <w:szCs w:val="32"/>
          <w:shd w:val="clear" w:color="auto" w:fill="FFFFFF"/>
          <w:lang w:val="en-US" w:eastAsia="zh-CN"/>
        </w:rPr>
        <w:t>件，均按期办结答复。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（四）县农业农村局202</w:t>
      </w:r>
      <w:r>
        <w:rPr>
          <w:rFonts w:hint="eastAsia" w:ascii="宋体" w:hAnsi="宋体" w:cs="宋体"/>
          <w:b w:val="0"/>
          <w:bCs w:val="0"/>
          <w:sz w:val="32"/>
          <w:szCs w:val="32"/>
          <w:shd w:val="clear" w:color="auto" w:fill="FFFFFF"/>
          <w:lang w:val="en-US" w:eastAsia="zh-CN"/>
        </w:rPr>
        <w:t>3</w:t>
      </w:r>
      <w:r>
        <w:rPr>
          <w:rFonts w:hint="eastAsia" w:ascii="宋体" w:hAnsi="宋体" w:eastAsia="宋体" w:cs="宋体"/>
          <w:b w:val="0"/>
          <w:bCs w:val="0"/>
          <w:sz w:val="32"/>
          <w:szCs w:val="32"/>
          <w:shd w:val="clear" w:color="auto" w:fill="FFFFFF"/>
          <w:lang w:val="en-US" w:eastAsia="zh-CN"/>
        </w:rPr>
        <w:t>年度政务公开工作创新情况。我单位通过各类信息及部门动态共计</w:t>
      </w:r>
      <w:r>
        <w:rPr>
          <w:rFonts w:hint="eastAsia" w:ascii="宋体" w:hAnsi="宋体" w:cs="宋体"/>
          <w:b w:val="0"/>
          <w:bCs w:val="0"/>
          <w:sz w:val="32"/>
          <w:szCs w:val="32"/>
          <w:shd w:val="clear" w:color="auto" w:fill="FFFFFF"/>
          <w:lang w:val="en-US" w:eastAsia="zh-CN"/>
        </w:rPr>
        <w:t>98</w:t>
      </w:r>
      <w:r>
        <w:rPr>
          <w:rFonts w:hint="eastAsia" w:ascii="宋体" w:hAnsi="宋体" w:eastAsia="宋体" w:cs="宋体"/>
          <w:b w:val="0"/>
          <w:bCs w:val="0"/>
          <w:sz w:val="32"/>
          <w:szCs w:val="32"/>
          <w:shd w:val="clear" w:color="auto" w:fill="FFFFFF"/>
          <w:lang w:val="en-US" w:eastAsia="zh-CN"/>
        </w:rPr>
        <w:t>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（五）微山县农业农村局政府信息公开工作年度报告数据统计没有需要说明的事项。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（六）本行政机关认为需要报告的其他事项</w:t>
      </w:r>
      <w:r>
        <w:rPr>
          <w:rFonts w:hint="eastAsia" w:ascii="宋体" w:hAnsi="宋体" w:cs="宋体"/>
          <w:b w:val="0"/>
          <w:bCs w:val="0"/>
          <w:sz w:val="32"/>
          <w:szCs w:val="32"/>
          <w:shd w:val="clear" w:color="auto" w:fill="FFFFFF"/>
          <w:lang w:val="en-US" w:eastAsia="zh-CN"/>
        </w:rPr>
        <w:t>：</w:t>
      </w:r>
      <w:r>
        <w:rPr>
          <w:rFonts w:hint="eastAsia" w:ascii="宋体" w:hAnsi="宋体" w:eastAsia="宋体" w:cs="宋体"/>
          <w:b w:val="0"/>
          <w:bCs w:val="0"/>
          <w:sz w:val="32"/>
          <w:szCs w:val="32"/>
          <w:shd w:val="clear" w:color="auto" w:fill="FFFFFF"/>
          <w:lang w:val="en-US" w:eastAsia="zh-CN"/>
        </w:rPr>
        <w:t>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val="0"/>
          <w:bCs w:val="0"/>
          <w:sz w:val="32"/>
          <w:szCs w:val="32"/>
          <w:shd w:val="clear" w:color="auto" w:fill="FFFFFF"/>
          <w:lang w:val="en-US" w:eastAsia="zh-CN"/>
        </w:rPr>
      </w:pPr>
      <w:r>
        <w:rPr>
          <w:rFonts w:hint="eastAsia" w:ascii="宋体" w:hAnsi="宋体" w:eastAsia="宋体" w:cs="宋体"/>
          <w:b w:val="0"/>
          <w:bCs w:val="0"/>
          <w:sz w:val="32"/>
          <w:szCs w:val="32"/>
          <w:shd w:val="clear" w:color="auto" w:fill="FFFFFF"/>
          <w:lang w:val="en-US" w:eastAsia="zh-CN"/>
        </w:rPr>
        <w:t>（七）其他有关文件专门要求通过政府信息公开工作年度报告：无。</w:t>
      </w:r>
    </w:p>
    <w:p>
      <w:pPr>
        <w:pStyle w:val="3"/>
        <w:keepNext w:val="0"/>
        <w:keepLines w:val="0"/>
        <w:widowControl/>
        <w:suppressLineNumbers w:val="0"/>
        <w:spacing w:before="0" w:beforeAutospacing="0" w:after="0" w:afterAutospacing="0" w:line="600" w:lineRule="atLeast"/>
        <w:ind w:left="0" w:right="0" w:firstLine="645"/>
        <w:rPr>
          <w:rFonts w:hint="eastAsia" w:ascii="宋体" w:hAnsi="宋体" w:eastAsia="宋体" w:cs="宋体"/>
          <w:i w:val="0"/>
          <w:caps w:val="0"/>
          <w:color w:val="000000"/>
          <w:spacing w:val="0"/>
          <w:sz w:val="31"/>
          <w:szCs w:val="31"/>
          <w:shd w:val="clear" w:color="auto" w:fill="FFFFFF"/>
          <w:lang w:val="en-US" w:eastAsia="zh-CN"/>
        </w:rPr>
      </w:pPr>
      <w:r>
        <w:rPr>
          <w:rFonts w:hint="eastAsia" w:ascii="宋体" w:hAnsi="宋体" w:cs="宋体"/>
          <w:i w:val="0"/>
          <w:caps w:val="0"/>
          <w:color w:val="000000"/>
          <w:spacing w:val="0"/>
          <w:sz w:val="31"/>
          <w:szCs w:val="31"/>
          <w:shd w:val="clear" w:color="auto" w:fill="FFFFFF"/>
          <w:lang w:val="en-US" w:eastAsia="zh-CN"/>
        </w:rPr>
        <w:t xml:space="preserve"> </w:t>
      </w:r>
      <w:bookmarkStart w:id="1" w:name="_GoBack"/>
      <w:bookmarkEnd w:id="1"/>
    </w:p>
    <w:p>
      <w:pPr>
        <w:rPr>
          <w:rFonts w:hint="eastAsia" w:ascii="宋体" w:hAnsi="宋体" w:eastAsia="宋体" w:cs="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OTU2MjZhN2Y2ZTE5OTMzYmY3YzUxMDE0MmE1NzMifQ=="/>
  </w:docVars>
  <w:rsids>
    <w:rsidRoot w:val="23E05F69"/>
    <w:rsid w:val="021D0F4A"/>
    <w:rsid w:val="0452061B"/>
    <w:rsid w:val="07975601"/>
    <w:rsid w:val="08905FF3"/>
    <w:rsid w:val="0ED036BF"/>
    <w:rsid w:val="116162CF"/>
    <w:rsid w:val="11D075C7"/>
    <w:rsid w:val="19377A49"/>
    <w:rsid w:val="1CD30CE0"/>
    <w:rsid w:val="228F46A5"/>
    <w:rsid w:val="23E05F69"/>
    <w:rsid w:val="2A283D5E"/>
    <w:rsid w:val="2D730B94"/>
    <w:rsid w:val="339D48A3"/>
    <w:rsid w:val="394B526D"/>
    <w:rsid w:val="3ECD4948"/>
    <w:rsid w:val="404E5291"/>
    <w:rsid w:val="43402E95"/>
    <w:rsid w:val="4BA34822"/>
    <w:rsid w:val="4D0753D8"/>
    <w:rsid w:val="4D740C0F"/>
    <w:rsid w:val="50242014"/>
    <w:rsid w:val="54600DE3"/>
    <w:rsid w:val="59613648"/>
    <w:rsid w:val="5A025BE7"/>
    <w:rsid w:val="5FDA10B1"/>
    <w:rsid w:val="65954537"/>
    <w:rsid w:val="67620F81"/>
    <w:rsid w:val="6D8343C6"/>
    <w:rsid w:val="719C15B2"/>
    <w:rsid w:val="74AC0C6B"/>
    <w:rsid w:val="7A33417F"/>
    <w:rsid w:val="7B034F43"/>
    <w:rsid w:val="7E0B5B3E"/>
    <w:rsid w:val="7FDB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pPr>
      <w:ind w:left="508"/>
    </w:pPr>
    <w:rPr>
      <w:rFonts w:ascii="仿宋" w:hAnsi="仿宋" w:eastAsia="仿宋" w:cs="仿宋"/>
      <w:b/>
      <w:bCs/>
      <w:sz w:val="32"/>
      <w:szCs w:val="32"/>
      <w:lang w:val="zh-CN" w:eastAsia="zh-CN" w:bidi="zh-CN"/>
    </w:r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2646</Words>
  <Characters>2753</Characters>
  <Lines>0</Lines>
  <Paragraphs>0</Paragraphs>
  <TotalTime>7</TotalTime>
  <ScaleCrop>false</ScaleCrop>
  <LinksUpToDate>false</LinksUpToDate>
  <CharactersWithSpaces>2753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2023-01-28T03:01:00Z</dcterms:created>
  <dc:creator>！！！</dc:creator>
  <cp:lastModifiedBy>Adminu</cp:lastModifiedBy>
  <dcterms:modified xsi:type="dcterms:W3CDTF">2024-01-29T05:36:39Z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4CEFFD2B3FD4405A9CD91962B3990A86</vt:lpwstr>
  </property>
</Properties>
</file>