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微山县</w:t>
      </w:r>
      <w:r>
        <w:rPr>
          <w:rFonts w:hint="default" w:ascii="Times New Roman" w:hAnsi="Times New Roman" w:eastAsia="方正小标宋简体" w:cs="Times New Roman"/>
          <w:b/>
          <w:bCs/>
          <w:i w:val="0"/>
          <w:iCs w:val="0"/>
          <w:caps w:val="0"/>
          <w:color w:val="000000"/>
          <w:spacing w:val="0"/>
          <w:sz w:val="44"/>
          <w:szCs w:val="44"/>
          <w:shd w:val="clear" w:fill="FFFFFF"/>
          <w:lang w:eastAsia="zh-CN"/>
        </w:rPr>
        <w:t>驩城镇2023</w:t>
      </w:r>
      <w:r>
        <w:rPr>
          <w:rFonts w:hint="default" w:ascii="Times New Roman" w:hAnsi="Times New Roman" w:eastAsia="方正小标宋简体" w:cs="Times New Roman"/>
          <w:b/>
          <w:bCs/>
          <w:i w:val="0"/>
          <w:iCs w:val="0"/>
          <w:caps w:val="0"/>
          <w:color w:val="000000"/>
          <w:spacing w:val="0"/>
          <w:sz w:val="44"/>
          <w:szCs w:val="44"/>
          <w:shd w:val="clear" w:fill="FFFFFF"/>
        </w:rPr>
        <w:t>年政府信息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公开工作年度报告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黑体" w:cs="Times New Roman"/>
          <w:b/>
          <w:bCs/>
          <w:i w:val="0"/>
          <w:iCs w:val="0"/>
          <w:caps w:val="0"/>
          <w:color w:val="000000"/>
          <w:spacing w:val="0"/>
          <w:sz w:val="31"/>
          <w:szCs w:val="31"/>
          <w:shd w:val="clear" w:fill="FFFFFF"/>
        </w:rPr>
      </w:pP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微山县驩城镇人民政府</w:t>
      </w:r>
      <w:r>
        <w:rPr>
          <w:rFonts w:hint="default" w:ascii="Times New Roman" w:hAnsi="Times New Roman" w:eastAsia="方正仿宋简体" w:cs="Times New Roman"/>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本报告所列数据的统计期限自</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2023</w:t>
      </w:r>
      <w:r>
        <w:rPr>
          <w:rFonts w:hint="default" w:ascii="Times New Roman" w:hAnsi="Times New Roman" w:eastAsia="方正仿宋简体" w:cs="Times New Roman"/>
          <w:b/>
          <w:bCs/>
          <w:color w:val="000000" w:themeColor="text1"/>
          <w:sz w:val="32"/>
          <w:szCs w:val="32"/>
          <w14:textFill>
            <w14:solidFill>
              <w14:schemeClr w14:val="tx1"/>
            </w14:solidFill>
          </w14:textFill>
        </w:rPr>
        <w:t>年1月1日起至</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2023</w:t>
      </w:r>
      <w:r>
        <w:rPr>
          <w:rFonts w:hint="default" w:ascii="Times New Roman" w:hAnsi="Times New Roman" w:eastAsia="方正仿宋简体" w:cs="Times New Roman"/>
          <w:b/>
          <w:bCs/>
          <w:color w:val="000000" w:themeColor="text1"/>
          <w:sz w:val="32"/>
          <w:szCs w:val="32"/>
          <w14:textFill>
            <w14:solidFill>
              <w14:schemeClr w14:val="tx1"/>
            </w14:solidFill>
          </w14:textFill>
        </w:rPr>
        <w:t>年12月31日止。本报告电子版可在</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中国•微山）</w:t>
      </w:r>
      <w:r>
        <w:rPr>
          <w:rFonts w:hint="default" w:ascii="Times New Roman" w:hAnsi="Times New Roman" w:eastAsia="方正仿宋简体" w:cs="Times New Roman"/>
          <w:b/>
          <w:bCs/>
          <w:color w:val="000000" w:themeColor="text1"/>
          <w:sz w:val="32"/>
          <w:szCs w:val="32"/>
          <w14:textFill>
            <w14:solidFill>
              <w14:schemeClr w14:val="tx1"/>
            </w14:solidFill>
          </w14:textFill>
        </w:rPr>
        <w:t>门户网站（http://www.weishan.gov.cn/）查阅或下载。如对本报告有疑问，请与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微山县驩城镇</w:t>
      </w:r>
      <w:r>
        <w:rPr>
          <w:rFonts w:hint="default" w:ascii="Times New Roman" w:hAnsi="Times New Roman" w:eastAsia="方正仿宋简体" w:cs="Times New Roman"/>
          <w:b/>
          <w:bCs/>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微山县驩城镇冯驩西路7号</w:t>
      </w:r>
      <w:r>
        <w:rPr>
          <w:rFonts w:hint="default" w:ascii="Times New Roman" w:hAnsi="Times New Roman" w:eastAsia="方正仿宋简体" w:cs="Times New Roman"/>
          <w:b/>
          <w:bCs/>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8611001</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一、总体情况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2023年，在</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委、</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政府的坚强领导下，</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驩城镇</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人民政府认真贯彻落实《中华人民共和国政府信息公开条例》和贯彻落实</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县</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政府办公室关于政务公开相关文件精神，紧紧围绕基层政务公开标准化规范化建设，结合权责清单和公共服务事项清单认真梳理公开事项，加大重点领域信息公开力度，不断完善目录体系，规范公开内容</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，取得了良好成效</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。现报告如下：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（一）主动公开情况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2023年1月1日至2023年12月31日，驩城镇主动公开政府信息1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条，其中工作动态</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条、通知公告</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条、会议公开</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条、乡镇文件</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条、机构设置1条、行政权力1条、预算决算2条、集中采购1条、业务培训3条、公开指南1条、信息公开年报1条。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rightChars="0" w:firstLine="643" w:firstLineChars="200"/>
        <w:jc w:val="center"/>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drawing>
          <wp:inline distT="0" distB="0" distL="114300" distR="114300">
            <wp:extent cx="4174490" cy="2945765"/>
            <wp:effectExtent l="0" t="0" r="16510" b="6985"/>
            <wp:docPr id="2" name="图片 2" descr="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饼状图"/>
                    <pic:cNvPicPr>
                      <a:picLocks noChangeAspect="1"/>
                    </pic:cNvPicPr>
                  </pic:nvPicPr>
                  <pic:blipFill>
                    <a:blip r:embed="rId4"/>
                    <a:stretch>
                      <a:fillRect/>
                    </a:stretch>
                  </pic:blipFill>
                  <pic:spPr>
                    <a:xfrm>
                      <a:off x="0" y="0"/>
                      <a:ext cx="4174490" cy="2945765"/>
                    </a:xfrm>
                    <a:prstGeom prst="rect">
                      <a:avLst/>
                    </a:prstGeom>
                  </pic:spPr>
                </pic:pic>
              </a:graphicData>
            </a:graphic>
          </wp:inline>
        </w:drawing>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（二）依申请公开情况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驩城镇受理依申请公开32件</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,已答复32件，办结率100%</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政府信息管理情况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一是加强组织领导。我镇高度重视政务公开工作，成立以政府主要负责同志为组长，分管负责同志为副组长，各部门主要负责人和办公室工作人员为成员的领导小组，将政务公开作为政府强化行政能力、提高服务水平的重要举措。二是明确任务分工。研究制定驩城镇2023年政务公开重点工作任务分工，明确各部门的相关任务要求，安排专人对接信息公开工作，不断完善各项工作机制，确保政府信息公开的及时和质量。三是强化交流培训。积极参加县政务公开办组织的政务公开工作培训会，本年度召开镇政务公开工作推进会4次，有效提升了政务公开工作水平。</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政府信息公开平台建设情况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2023年以来，我镇高度重视依申请公开工作，不断完善制度机制，坚持依法规范办理，狠抓依申请办理质量，切实保障公众知情权，积极化解社会矛盾，不断增强人民群众获得感和幸福感。始终围绕“政府信息公开、网上办事、政民互动”原则，积极拓宽政务公开渠道，开展政府网站（含政务新媒体）建设，网站首页设有工作动态、通知公告、最新公开、走进驩城四个板块。严格按照要求</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安排专人定期更新信息公开网站</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对检查出来的问题逐一整改。通过规范推进决策公开、扎实推进执行公开、积极推进结果公开、大力推进管理公开、全面推进服务公开，为群众提供及时全面准确的政务信息服务。</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监督保障情况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一是及时整改上报政务公开信息。按规定及时公开乡镇权力清单和公共服务清单，明确权力范围，促使政府规范履职行为。二是完善工作制度，夯实公开基础。不断完善各项公开工作制度，根据时间节点，对各部门下发公开内容提示单。三是落实政府信息公开社会评议制度，认真听取群众意见和建议。公开投诉电话，畅通群众来信、来电、来访诉求渠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二、主动公开政府信息情况</w:t>
      </w:r>
    </w:p>
    <w:tbl>
      <w:tblPr>
        <w:tblStyle w:val="3"/>
        <w:tblW w:w="89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25"/>
        <w:gridCol w:w="2225"/>
        <w:gridCol w:w="2225"/>
        <w:gridCol w:w="22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黑体简体" w:cs="Times New Roman"/>
                <w:b/>
                <w:bCs/>
                <w:color w:val="000000"/>
                <w:sz w:val="24"/>
                <w:szCs w:val="24"/>
              </w:rPr>
            </w:pPr>
            <w:r>
              <w:rPr>
                <w:rFonts w:hint="default" w:ascii="Times New Roman" w:hAnsi="Times New Roman" w:eastAsia="方正黑体简体" w:cs="Times New Roman"/>
                <w:b/>
                <w:bCs/>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本年制发件数</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本年废止件数</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规章</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行政规范性文件</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行政许可</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行政处罚</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行政强制</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行政事业性收费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bl>
    <w:p>
      <w:pPr>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br w:type="page"/>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三、收到和处理政府信息公开申请情况</w:t>
      </w:r>
    </w:p>
    <w:tbl>
      <w:tblPr>
        <w:tblStyle w:val="3"/>
        <w:tblpPr w:leftFromText="180" w:rightFromText="180" w:vertAnchor="text" w:horzAnchor="page" w:tblpX="1690" w:tblpY="372"/>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
        <w:gridCol w:w="1147"/>
        <w:gridCol w:w="2550"/>
        <w:gridCol w:w="818"/>
        <w:gridCol w:w="559"/>
        <w:gridCol w:w="559"/>
        <w:gridCol w:w="563"/>
        <w:gridCol w:w="559"/>
        <w:gridCol w:w="564"/>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（本列数据的勾稽关系为：第一项加第二项之和，</w:t>
            </w:r>
          </w:p>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等于第三项加第四项之和）</w:t>
            </w:r>
          </w:p>
        </w:tc>
        <w:tc>
          <w:tcPr>
            <w:tcW w:w="4079"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黑体简体" w:cs="Times New Roman"/>
                <w:b/>
                <w:bCs/>
                <w:sz w:val="21"/>
                <w:szCs w:val="21"/>
              </w:rPr>
            </w:pPr>
          </w:p>
        </w:tc>
        <w:tc>
          <w:tcPr>
            <w:tcW w:w="818"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自然人</w:t>
            </w:r>
          </w:p>
        </w:tc>
        <w:tc>
          <w:tcPr>
            <w:tcW w:w="2804"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法人或其他组织</w:t>
            </w:r>
          </w:p>
        </w:tc>
        <w:tc>
          <w:tcPr>
            <w:tcW w:w="457"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4640" w:type="dxa"/>
            <w:gridSpan w:val="3"/>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c>
          <w:tcPr>
            <w:tcW w:w="818"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c>
          <w:tcPr>
            <w:tcW w:w="559"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商业企业</w:t>
            </w:r>
          </w:p>
        </w:tc>
        <w:tc>
          <w:tcPr>
            <w:tcW w:w="559"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科研机构</w:t>
            </w:r>
          </w:p>
        </w:tc>
        <w:tc>
          <w:tcPr>
            <w:tcW w:w="563"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社会公益组织</w:t>
            </w:r>
          </w:p>
        </w:tc>
        <w:tc>
          <w:tcPr>
            <w:tcW w:w="559"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法律服务机构</w:t>
            </w:r>
          </w:p>
        </w:tc>
        <w:tc>
          <w:tcPr>
            <w:tcW w:w="564" w:type="dxa"/>
            <w:shd w:val="clear" w:color="auto" w:fill="auto"/>
            <w:tcMar>
              <w:left w:w="108" w:type="dxa"/>
              <w:right w:w="108" w:type="dxa"/>
            </w:tcMar>
            <w:vAlign w:val="center"/>
          </w:tcPr>
          <w:p>
            <w:pPr>
              <w:widowControl/>
              <w:spacing w:line="260" w:lineRule="exact"/>
              <w:ind w:left="-63" w:leftChars="-30" w:right="-134" w:rightChars="-64"/>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其他</w:t>
            </w:r>
          </w:p>
        </w:tc>
        <w:tc>
          <w:tcPr>
            <w:tcW w:w="457"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w:t>
            </w:r>
            <w:bookmarkStart w:id="0" w:name="_Hlk66973412"/>
            <w:r>
              <w:rPr>
                <w:rFonts w:hint="default" w:ascii="Times New Roman" w:hAnsi="Times New Roman" w:eastAsia="方正仿宋简体" w:cs="Times New Roman"/>
                <w:b/>
                <w:bCs/>
                <w:sz w:val="21"/>
                <w:szCs w:val="21"/>
              </w:rPr>
              <w:t>本年新收政府信息公开申请数量</w:t>
            </w:r>
            <w:bookmarkEnd w:id="0"/>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32</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二、上年结转政府信息公开申请数量</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restart"/>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三、本年度办理结果</w:t>
            </w: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（一）予以公开</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（二）部分公开（</w:t>
            </w:r>
            <w:bookmarkStart w:id="1" w:name="_Hlk66973981"/>
            <w:r>
              <w:rPr>
                <w:rFonts w:hint="default" w:ascii="Times New Roman" w:hAnsi="Times New Roman" w:eastAsia="方正仿宋简体" w:cs="Times New Roman"/>
                <w:b/>
                <w:bCs/>
                <w:sz w:val="21"/>
                <w:szCs w:val="21"/>
              </w:rPr>
              <w:t>区分处理的，只计这一情形，不计其他情形</w:t>
            </w:r>
            <w:bookmarkEnd w:id="1"/>
            <w:r>
              <w:rPr>
                <w:rFonts w:hint="default" w:ascii="Times New Roman" w:hAnsi="Times New Roman" w:eastAsia="方正仿宋简体" w:cs="Times New Roman"/>
                <w:b/>
                <w:bCs/>
                <w:sz w:val="21"/>
                <w:szCs w:val="21"/>
              </w:rPr>
              <w:t>）</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（三）不予公开</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1.属于国家秘密</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bookmarkStart w:id="2" w:name="_Hlk66974104"/>
            <w:r>
              <w:rPr>
                <w:rFonts w:hint="default" w:ascii="Times New Roman" w:hAnsi="Times New Roman" w:eastAsia="方正仿宋简体" w:cs="Times New Roman"/>
                <w:b/>
                <w:bCs/>
                <w:sz w:val="21"/>
                <w:szCs w:val="21"/>
              </w:rPr>
              <w:t>其他法律行政法规禁止公开</w:t>
            </w:r>
            <w:bookmarkEnd w:id="2"/>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3.危及“三安全一稳定”</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bookmarkStart w:id="3" w:name="_Hlk66974290"/>
            <w:r>
              <w:rPr>
                <w:rFonts w:hint="default" w:ascii="Times New Roman" w:hAnsi="Times New Roman" w:eastAsia="方正仿宋简体" w:cs="Times New Roman"/>
                <w:b/>
                <w:bCs/>
                <w:sz w:val="21"/>
                <w:szCs w:val="21"/>
              </w:rPr>
              <w:t>保护第三方合法权益</w:t>
            </w:r>
            <w:bookmarkEnd w:id="3"/>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19</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rPr>
            </w:pPr>
            <w:r>
              <w:rPr>
                <w:rFonts w:hint="default" w:ascii="Times New Roman" w:hAnsi="Times New Roman" w:eastAsia="方正仿宋简体" w:cs="Times New Roman"/>
                <w:b/>
                <w:bCs/>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5.属于三类内部事务信息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6.</w:t>
            </w:r>
            <w:bookmarkStart w:id="4" w:name="_Hlk66974555"/>
            <w:r>
              <w:rPr>
                <w:rFonts w:hint="default" w:ascii="Times New Roman" w:hAnsi="Times New Roman" w:eastAsia="方正仿宋简体" w:cs="Times New Roman"/>
                <w:b/>
                <w:bCs/>
                <w:sz w:val="21"/>
                <w:szCs w:val="21"/>
              </w:rPr>
              <w:t>属于四类过程性信息</w:t>
            </w:r>
            <w:bookmarkEnd w:id="4"/>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7.属于行政执法案卷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8.</w:t>
            </w:r>
            <w:bookmarkStart w:id="5" w:name="_Hlk66975211"/>
            <w:r>
              <w:rPr>
                <w:rFonts w:hint="default" w:ascii="Times New Roman" w:hAnsi="Times New Roman" w:eastAsia="方正仿宋简体" w:cs="Times New Roman"/>
                <w:b/>
                <w:bCs/>
                <w:sz w:val="21"/>
                <w:szCs w:val="21"/>
              </w:rPr>
              <w:t>属于行政查询事项</w:t>
            </w:r>
            <w:bookmarkEnd w:id="5"/>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（四）无法提供</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1.本机关不掌握相关政府信息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13</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rPr>
            </w:pPr>
            <w:r>
              <w:rPr>
                <w:rFonts w:hint="default" w:ascii="Times New Roman" w:hAnsi="Times New Roman" w:eastAsia="方正仿宋简体" w:cs="Times New Roman"/>
                <w:b/>
                <w:bCs/>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ind w:left="-107" w:leftChars="-51"/>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bookmarkStart w:id="6" w:name="_Hlk66975392"/>
            <w:r>
              <w:rPr>
                <w:rFonts w:hint="default" w:ascii="Times New Roman" w:hAnsi="Times New Roman" w:eastAsia="方正仿宋简体" w:cs="Times New Roman"/>
                <w:b/>
                <w:bCs/>
                <w:sz w:val="21"/>
                <w:szCs w:val="21"/>
              </w:rPr>
              <w:t>没有现成信息需要另行制作</w:t>
            </w:r>
            <w:bookmarkEnd w:id="6"/>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ind w:left="-107" w:leftChars="-51"/>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bookmarkStart w:id="7" w:name="_Hlk66975466"/>
            <w:r>
              <w:rPr>
                <w:rFonts w:hint="default" w:ascii="Times New Roman" w:hAnsi="Times New Roman" w:eastAsia="方正仿宋简体" w:cs="Times New Roman"/>
                <w:b/>
                <w:bCs/>
                <w:spacing w:val="-8"/>
                <w:sz w:val="21"/>
                <w:szCs w:val="21"/>
              </w:rPr>
              <w:t>补正后申请内容仍不明确</w:t>
            </w:r>
            <w:bookmarkEnd w:id="7"/>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（五）不予处理</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w:t>
            </w:r>
            <w:bookmarkStart w:id="8" w:name="_Hlk66975537"/>
            <w:r>
              <w:rPr>
                <w:rFonts w:hint="default" w:ascii="Times New Roman" w:hAnsi="Times New Roman" w:eastAsia="方正仿宋简体" w:cs="Times New Roman"/>
                <w:b/>
                <w:bCs/>
                <w:sz w:val="21"/>
                <w:szCs w:val="21"/>
              </w:rPr>
              <w:t>信访举报投诉类申请</w:t>
            </w:r>
            <w:bookmarkEnd w:id="8"/>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2.重复申请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3.要求提供公开出版物</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r>
              <w:rPr>
                <w:rFonts w:hint="default" w:ascii="Times New Roman" w:hAnsi="Times New Roman" w:eastAsia="方正仿宋简体" w:cs="Times New Roman"/>
                <w:b/>
                <w:bCs/>
                <w:spacing w:val="-8"/>
                <w:sz w:val="21"/>
                <w:szCs w:val="21"/>
              </w:rPr>
              <w:t>无正当理由大量反复申请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5.要求行政机关确认或重新出具已获取信息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（六）其他处理</w:t>
            </w: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1.申请人无正当理由逾期不补正、行政机关不再处理其政府信息公开申请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2.申请人逾期未按收费通知要求缴纳费用、行政机关不再处理其政府信息公开申请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3.其他</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（七）总计</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32</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四、结转下年度继续办理</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p>
    <w:p>
      <w:pPr>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br w:type="page"/>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四、政府信息公开行政复议、行政诉讼情况</w:t>
      </w:r>
    </w:p>
    <w:tbl>
      <w:tblPr>
        <w:tblStyle w:val="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602"/>
        <w:gridCol w:w="602"/>
        <w:gridCol w:w="602"/>
        <w:gridCol w:w="481"/>
        <w:gridCol w:w="548"/>
        <w:gridCol w:w="603"/>
        <w:gridCol w:w="603"/>
        <w:gridCol w:w="603"/>
        <w:gridCol w:w="580"/>
        <w:gridCol w:w="603"/>
        <w:gridCol w:w="603"/>
        <w:gridCol w:w="603"/>
        <w:gridCol w:w="604"/>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288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行政复议</w:t>
            </w:r>
          </w:p>
        </w:tc>
        <w:tc>
          <w:tcPr>
            <w:tcW w:w="5910" w:type="dxa"/>
            <w:gridSpan w:val="10"/>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2"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p>
            <w:pPr>
              <w:widowControl/>
              <w:spacing w:line="320" w:lineRule="exact"/>
              <w:ind w:left="-149" w:leftChars="-71" w:right="-170" w:rightChars="-8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维持</w:t>
            </w:r>
          </w:p>
        </w:tc>
        <w:tc>
          <w:tcPr>
            <w:tcW w:w="602"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结果纠正</w:t>
            </w:r>
          </w:p>
        </w:tc>
        <w:tc>
          <w:tcPr>
            <w:tcW w:w="602"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其他结果</w:t>
            </w:r>
          </w:p>
        </w:tc>
        <w:tc>
          <w:tcPr>
            <w:tcW w:w="602"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w:t>
            </w:r>
          </w:p>
          <w:p>
            <w:pPr>
              <w:widowControl/>
              <w:spacing w:line="320" w:lineRule="exact"/>
              <w:ind w:left="-118" w:leftChars="-56" w:right="-118" w:rightChars="-5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审结</w:t>
            </w:r>
          </w:p>
        </w:tc>
        <w:tc>
          <w:tcPr>
            <w:tcW w:w="481"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w:t>
            </w:r>
          </w:p>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计</w:t>
            </w:r>
          </w:p>
        </w:tc>
        <w:tc>
          <w:tcPr>
            <w:tcW w:w="2937"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未经复议直接起诉</w:t>
            </w:r>
          </w:p>
        </w:tc>
        <w:tc>
          <w:tcPr>
            <w:tcW w:w="297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bookmarkStart w:id="9" w:name="_Hlk67039688"/>
            <w:r>
              <w:rPr>
                <w:rFonts w:hint="default" w:ascii="Times New Roman" w:hAnsi="Times New Roman" w:eastAsia="方正黑体简体" w:cs="Times New Roman"/>
                <w:b/>
                <w:bCs/>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481"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548" w:type="dxa"/>
            <w:shd w:val="clear" w:color="auto" w:fill="auto"/>
            <w:tcMar>
              <w:left w:w="108" w:type="dxa"/>
              <w:right w:w="108" w:type="dxa"/>
            </w:tcMar>
            <w:vAlign w:val="center"/>
          </w:tcPr>
          <w:p>
            <w:pPr>
              <w:widowControl/>
              <w:spacing w:line="320" w:lineRule="exact"/>
              <w:ind w:left="-105" w:leftChars="-50" w:right="-126" w:rightChars="-6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结果维持</w:t>
            </w:r>
          </w:p>
        </w:tc>
        <w:tc>
          <w:tcPr>
            <w:tcW w:w="603" w:type="dxa"/>
            <w:shd w:val="clear" w:color="auto" w:fill="auto"/>
            <w:tcMar>
              <w:left w:w="108" w:type="dxa"/>
              <w:right w:w="108" w:type="dxa"/>
            </w:tcMar>
            <w:vAlign w:val="center"/>
          </w:tcPr>
          <w:p>
            <w:pPr>
              <w:widowControl/>
              <w:spacing w:line="320" w:lineRule="exact"/>
              <w:ind w:left="-86" w:leftChars="-41" w:right="-88" w:rightChars="-42"/>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结果纠正</w:t>
            </w:r>
          </w:p>
        </w:tc>
        <w:tc>
          <w:tcPr>
            <w:tcW w:w="603" w:type="dxa"/>
            <w:shd w:val="clear" w:color="auto" w:fill="auto"/>
            <w:tcMar>
              <w:left w:w="108" w:type="dxa"/>
              <w:right w:w="108" w:type="dxa"/>
            </w:tcMar>
            <w:vAlign w:val="center"/>
          </w:tcPr>
          <w:p>
            <w:pPr>
              <w:widowControl/>
              <w:spacing w:line="320" w:lineRule="exact"/>
              <w:ind w:left="-126" w:leftChars="-60" w:right="-136" w:rightChars="-65"/>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w:t>
            </w:r>
          </w:p>
          <w:p>
            <w:pPr>
              <w:widowControl/>
              <w:spacing w:line="320" w:lineRule="exact"/>
              <w:ind w:left="-126" w:leftChars="-60" w:right="-136" w:rightChars="-65"/>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tc>
        <w:tc>
          <w:tcPr>
            <w:tcW w:w="603" w:type="dxa"/>
            <w:shd w:val="clear" w:color="auto" w:fill="auto"/>
            <w:tcMar>
              <w:left w:w="108" w:type="dxa"/>
              <w:right w:w="108" w:type="dxa"/>
            </w:tcMar>
            <w:vAlign w:val="center"/>
          </w:tcPr>
          <w:p>
            <w:pPr>
              <w:widowControl/>
              <w:spacing w:line="320" w:lineRule="exact"/>
              <w:ind w:left="-164" w:leftChars="-78" w:right="-153" w:rightChars="-73"/>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w:t>
            </w:r>
          </w:p>
          <w:p>
            <w:pPr>
              <w:widowControl/>
              <w:spacing w:line="320" w:lineRule="exact"/>
              <w:ind w:left="-164" w:leftChars="-78" w:right="-153" w:rightChars="-73"/>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审结</w:t>
            </w:r>
          </w:p>
        </w:tc>
        <w:tc>
          <w:tcPr>
            <w:tcW w:w="580" w:type="dxa"/>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总计</w:t>
            </w:r>
          </w:p>
        </w:tc>
        <w:tc>
          <w:tcPr>
            <w:tcW w:w="603" w:type="dxa"/>
            <w:shd w:val="clear" w:color="auto" w:fill="auto"/>
            <w:tcMar>
              <w:left w:w="108" w:type="dxa"/>
              <w:right w:w="108" w:type="dxa"/>
            </w:tcMar>
            <w:vAlign w:val="center"/>
          </w:tcPr>
          <w:p>
            <w:pPr>
              <w:widowControl/>
              <w:spacing w:line="320" w:lineRule="exact"/>
              <w:ind w:left="-99" w:leftChars="-47" w:right="-78" w:rightChars="-37"/>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结果维持</w:t>
            </w:r>
          </w:p>
        </w:tc>
        <w:tc>
          <w:tcPr>
            <w:tcW w:w="603" w:type="dxa"/>
            <w:shd w:val="clear" w:color="auto" w:fill="auto"/>
            <w:tcMar>
              <w:left w:w="108" w:type="dxa"/>
              <w:right w:w="108" w:type="dxa"/>
            </w:tcMar>
            <w:vAlign w:val="center"/>
          </w:tcPr>
          <w:p>
            <w:pPr>
              <w:widowControl/>
              <w:spacing w:line="320" w:lineRule="exact"/>
              <w:ind w:left="-136" w:leftChars="-65" w:right="-124" w:rightChars="-59"/>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p>
            <w:pPr>
              <w:widowControl/>
              <w:spacing w:line="320" w:lineRule="exact"/>
              <w:ind w:left="-136" w:leftChars="-65" w:right="-124" w:rightChars="-59"/>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纠正</w:t>
            </w:r>
          </w:p>
        </w:tc>
        <w:tc>
          <w:tcPr>
            <w:tcW w:w="603" w:type="dxa"/>
            <w:shd w:val="clear" w:color="auto" w:fill="auto"/>
            <w:tcMar>
              <w:left w:w="108" w:type="dxa"/>
              <w:right w:w="108" w:type="dxa"/>
            </w:tcMar>
            <w:vAlign w:val="center"/>
          </w:tcPr>
          <w:p>
            <w:pPr>
              <w:widowControl/>
              <w:spacing w:line="320" w:lineRule="exact"/>
              <w:ind w:left="-173" w:leftChars="-83" w:right="-134" w:rightChars="-64"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w:t>
            </w:r>
          </w:p>
          <w:p>
            <w:pPr>
              <w:widowControl/>
              <w:spacing w:line="320" w:lineRule="exact"/>
              <w:ind w:left="-173" w:leftChars="-83" w:right="-134" w:rightChars="-64"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tc>
        <w:tc>
          <w:tcPr>
            <w:tcW w:w="604"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尚未审结</w:t>
            </w:r>
          </w:p>
        </w:tc>
        <w:tc>
          <w:tcPr>
            <w:tcW w:w="560" w:type="dxa"/>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481"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4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8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6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sans-serif"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shd w:val="clear" w:fill="FFFFFF"/>
        </w:rPr>
        <w:t>五、存在的主要问题及改进情况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镇政府信息公开工作扎实有效开展，但与上级的要求和公众的需求相比，还存在一定差距。一是政策文件解读形式单一，质量有待进一步提高。二是政府信息公开标准化、规范化程度有待加强。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六、其他需要报告的事项</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（一）收取信息处理费情况。</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2023年度，本单位没有产生信息公开处理费。</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（二）落实上年度政务公开工作要点情况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健全工作制度，根据工作实际制定2023年度工作实施方案，进一步明确工作目标，按照依法公开、客观真实、全面公开、注重实效、方便群众的原则，分工负责、职责明确，保障了政府信息公开工作依法、有序、及时、准确地开展。</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（三）人大代表建议和政协提案办理结果情况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2023年度，本单位没有收到政协、人大转办提案。</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（四）政务公开工作创新情况。持续探索政务公开体验区建设，逐步提高政务公开的便民性、规范性、标准性。</w:t>
      </w:r>
      <w:bookmarkStart w:id="10" w:name="_GoBack"/>
      <w:bookmarkEnd w:id="10"/>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（五）政府信息公开工作年度报告数据统计需要说明的事项。无。</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（六）本行政机关认为需要报告的其他事项。无。</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方正仿宋简体" w:cs="Times New Roman"/>
          <w:b/>
          <w:bCs/>
          <w:i w:val="0"/>
          <w:iCs w:val="0"/>
          <w:caps w:val="0"/>
          <w:color w:val="auto"/>
          <w:spacing w:val="0"/>
          <w:sz w:val="32"/>
          <w:szCs w:val="32"/>
          <w:shd w:val="clear" w:fill="FFFFFF"/>
          <w:lang w:val="en-US" w:eastAsia="zh-CN"/>
        </w:rPr>
      </w:pP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（七）其他有关文件专门要求通过政府信息公开工作年度报告予以报告的事项。无。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微软雅黑" w:hAnsi="微软雅黑" w:eastAsia="微软雅黑" w:cs="微软雅黑"/>
          <w:i w:val="0"/>
          <w:iCs w:val="0"/>
          <w:caps w:val="0"/>
          <w:color w:val="333333"/>
          <w:spacing w:val="0"/>
          <w:sz w:val="24"/>
          <w:szCs w:val="24"/>
          <w:bdr w:val="none" w:color="auto" w:sz="0" w:space="0"/>
          <w:lang w:val="en-US" w:eastAsia="zh-CN"/>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rightChars="0" w:firstLine="645"/>
        <w:jc w:val="right"/>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 xml:space="preserve">微山县驩城镇人民政府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rightChars="0" w:firstLine="705"/>
        <w:jc w:val="center"/>
        <w:textAlignment w:val="auto"/>
        <w:rPr>
          <w:rFonts w:hint="default" w:ascii="Times New Roman" w:hAnsi="Times New Roman" w:cs="Times New Roman"/>
          <w:b/>
          <w:bCs/>
          <w:lang w:val="en-US"/>
        </w:rPr>
      </w:pPr>
      <w:r>
        <w:rPr>
          <w:rFonts w:hint="default" w:ascii="Times New Roman" w:hAnsi="Times New Roman" w:eastAsia="仿宋_GB2312" w:cs="Times New Roman"/>
          <w:b/>
          <w:bCs/>
          <w:i w:val="0"/>
          <w:iCs w:val="0"/>
          <w:caps w:val="0"/>
          <w:color w:val="000000"/>
          <w:spacing w:val="0"/>
          <w:sz w:val="32"/>
          <w:szCs w:val="32"/>
          <w:lang w:val="en-US" w:eastAsia="zh-CN"/>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2024</w:t>
      </w:r>
      <w:r>
        <w:rPr>
          <w:rFonts w:hint="default" w:ascii="Times New Roman" w:hAnsi="Times New Roman" w:eastAsia="仿宋_GB2312" w:cs="Times New Roman"/>
          <w:b/>
          <w:bCs/>
          <w:i w:val="0"/>
          <w:iCs w:val="0"/>
          <w:caps w:val="0"/>
          <w:color w:val="000000"/>
          <w:spacing w:val="0"/>
          <w:sz w:val="32"/>
          <w:szCs w:val="32"/>
          <w:lang w:val="en-US" w:eastAsia="zh-CN"/>
        </w:rPr>
        <w:t>年</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i w:val="0"/>
          <w:iCs w:val="0"/>
          <w:caps w:val="0"/>
          <w:color w:val="000000"/>
          <w:spacing w:val="0"/>
          <w:sz w:val="32"/>
          <w:szCs w:val="32"/>
          <w:lang w:val="en-US" w:eastAsia="zh-CN"/>
        </w:rPr>
        <w:t>月</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b/>
          <w:bCs/>
          <w:i w:val="0"/>
          <w:iCs w:val="0"/>
          <w:caps w:val="0"/>
          <w:color w:val="000000"/>
          <w:spacing w:val="0"/>
          <w:sz w:val="32"/>
          <w:szCs w:val="32"/>
          <w:lang w:val="en-US" w:eastAsia="zh-CN"/>
        </w:rPr>
        <w:t xml:space="preserve">日  </w:t>
      </w:r>
    </w:p>
    <w:p>
      <w:pPr>
        <w:keepNext w:val="0"/>
        <w:keepLines w:val="0"/>
        <w:pageBreakBefore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b/>
          <w:bCs/>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4D67E"/>
    <w:multiLevelType w:val="singleLevel"/>
    <w:tmpl w:val="8F34D67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MmQ5MTJhMmU2YmQwNTlhOTBlZDVmYzAzNTU2OTYifQ=="/>
  </w:docVars>
  <w:rsids>
    <w:rsidRoot w:val="2C285E5E"/>
    <w:rsid w:val="06420522"/>
    <w:rsid w:val="07972AF0"/>
    <w:rsid w:val="0C67006E"/>
    <w:rsid w:val="0CB07E32"/>
    <w:rsid w:val="0D553231"/>
    <w:rsid w:val="0DA81358"/>
    <w:rsid w:val="11DA3D05"/>
    <w:rsid w:val="1C4E7373"/>
    <w:rsid w:val="201D3A46"/>
    <w:rsid w:val="20EE3E92"/>
    <w:rsid w:val="24DB3BC4"/>
    <w:rsid w:val="2A1470AB"/>
    <w:rsid w:val="2C285E5E"/>
    <w:rsid w:val="336B670F"/>
    <w:rsid w:val="3A2076B5"/>
    <w:rsid w:val="4010076E"/>
    <w:rsid w:val="43593652"/>
    <w:rsid w:val="47F92540"/>
    <w:rsid w:val="47FE2FB2"/>
    <w:rsid w:val="4A1806E8"/>
    <w:rsid w:val="4A8B64A2"/>
    <w:rsid w:val="4C1635B0"/>
    <w:rsid w:val="4C261954"/>
    <w:rsid w:val="54407467"/>
    <w:rsid w:val="56A65531"/>
    <w:rsid w:val="575672BF"/>
    <w:rsid w:val="5B95008C"/>
    <w:rsid w:val="61F200D9"/>
    <w:rsid w:val="64C94083"/>
    <w:rsid w:val="65D92F2F"/>
    <w:rsid w:val="676A4358"/>
    <w:rsid w:val="69EF7434"/>
    <w:rsid w:val="6A6A640A"/>
    <w:rsid w:val="6C4B7EC8"/>
    <w:rsid w:val="73614861"/>
    <w:rsid w:val="74400EA5"/>
    <w:rsid w:val="74D13C69"/>
    <w:rsid w:val="7C1F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2754</Words>
  <Characters>2894</Characters>
  <Lines>0</Lines>
  <Paragraphs>0</Paragraphs>
  <TotalTime>2</TotalTime>
  <ScaleCrop>false</ScaleCrop>
  <LinksUpToDate>false</LinksUpToDate>
  <CharactersWithSpaces>2926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2023-01-28T06:57:00Z</dcterms:created>
  <dc:creator>诠释</dc:creator>
  <cp:lastModifiedBy>K</cp:lastModifiedBy>
  <cp:lastPrinted>2024-01-23T08:06:00Z</cp:lastPrinted>
  <dcterms:modified xsi:type="dcterms:W3CDTF">2024-01-25T07:12:40Z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35E8817104514C15BBC80B30DD284E08_13</vt:lpwstr>
  </property>
</Properties>
</file>