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hd w:val="clear" w:color="auto" w:fill="FFFFFF"/>
        <w:spacing w:before="0" w:beforeAutospacing="0" w:after="0" w:afterAutospacing="0" w:line="560" w:lineRule="exact"/>
        <w:jc w:val="center"/>
        <w:rPr>
          <w:rFonts w:hint="eastAsia" w:ascii="方正公文小标宋" w:hAnsi="方正公文小标宋" w:eastAsia="方正公文小标宋" w:cs="方正公文小标宋"/>
          <w:b w:val="0"/>
          <w:bCs/>
          <w:sz w:val="44"/>
          <w:szCs w:val="44"/>
          <w:lang w:eastAsia="zh-CN"/>
        </w:rPr>
      </w:pPr>
      <w:r>
        <w:rPr>
          <w:rFonts w:hint="eastAsia" w:ascii="方正公文小标宋" w:hAnsi="方正公文小标宋" w:eastAsia="方正公文小标宋" w:cs="方正公文小标宋"/>
          <w:b w:val="0"/>
          <w:bCs/>
          <w:sz w:val="44"/>
          <w:szCs w:val="44"/>
          <w:lang w:eastAsia="zh-CN"/>
        </w:rPr>
        <w:t>微山县市场监督管理局</w:t>
      </w:r>
    </w:p>
    <w:p>
      <w:pPr>
        <w:pStyle w:val="5"/>
        <w:widowControl/>
        <w:shd w:val="clear" w:color="auto" w:fill="FFFFFF"/>
        <w:spacing w:before="0" w:beforeAutospacing="0" w:after="0" w:afterAutospacing="0" w:line="560" w:lineRule="exact"/>
        <w:jc w:val="center"/>
        <w:rPr>
          <w:rFonts w:hint="eastAsia" w:ascii="方正公文小标宋" w:hAnsi="方正公文小标宋" w:eastAsia="方正公文小标宋" w:cs="方正公文小标宋"/>
          <w:b w:val="0"/>
          <w:bCs/>
          <w:sz w:val="44"/>
          <w:szCs w:val="44"/>
        </w:rPr>
      </w:pPr>
      <w:r>
        <w:rPr>
          <w:rFonts w:hint="eastAsia" w:ascii="方正公文小标宋" w:hAnsi="方正公文小标宋" w:eastAsia="方正公文小标宋" w:cs="方正公文小标宋"/>
          <w:b w:val="0"/>
          <w:bCs/>
          <w:sz w:val="44"/>
          <w:szCs w:val="44"/>
        </w:rPr>
        <w:t>202</w:t>
      </w:r>
      <w:r>
        <w:rPr>
          <w:rFonts w:hint="eastAsia" w:ascii="方正公文小标宋" w:hAnsi="方正公文小标宋" w:eastAsia="方正公文小标宋" w:cs="方正公文小标宋"/>
          <w:b w:val="0"/>
          <w:bCs/>
          <w:sz w:val="44"/>
          <w:szCs w:val="44"/>
          <w:lang w:val="en-US" w:eastAsia="zh-CN"/>
        </w:rPr>
        <w:t>2</w:t>
      </w:r>
      <w:r>
        <w:rPr>
          <w:rFonts w:hint="eastAsia" w:ascii="方正公文小标宋" w:hAnsi="方正公文小标宋" w:eastAsia="方正公文小标宋" w:cs="方正公文小标宋"/>
          <w:b w:val="0"/>
          <w:bCs/>
          <w:sz w:val="44"/>
          <w:szCs w:val="44"/>
        </w:rPr>
        <w:t>年政府信息公开工作年度报告</w:t>
      </w:r>
    </w:p>
    <w:p>
      <w:pPr>
        <w:pStyle w:val="5"/>
        <w:widowControl/>
        <w:shd w:val="clear" w:color="auto" w:fill="FFFFFF"/>
        <w:spacing w:before="0" w:beforeAutospacing="0" w:after="0" w:afterAutospacing="0" w:line="560" w:lineRule="exact"/>
        <w:ind w:firstLine="420"/>
        <w:jc w:val="center"/>
        <w:rPr>
          <w:rFonts w:hint="eastAsia" w:ascii="文星简大标宋" w:hAnsi="方正小标宋简体" w:eastAsia="文星简大标宋" w:cs="方正小标宋简体"/>
          <w:b/>
          <w:sz w:val="44"/>
          <w:szCs w:val="44"/>
        </w:rPr>
      </w:pPr>
    </w:p>
    <w:p>
      <w:pPr>
        <w:keepNext w:val="0"/>
        <w:keepLines w:val="0"/>
        <w:pageBreakBefore w:val="0"/>
        <w:kinsoku/>
        <w:wordWrap/>
        <w:overflowPunct/>
        <w:topLinePunct w:val="0"/>
        <w:autoSpaceDE/>
        <w:autoSpaceDN/>
        <w:bidi w:val="0"/>
        <w:adjustRightInd/>
        <w:snapToGrid/>
        <w:spacing w:line="560" w:lineRule="exact"/>
        <w:ind w:right="-101" w:rightChars="-50" w:firstLine="624" w:firstLineChars="200"/>
        <w:textAlignment w:val="auto"/>
        <w:rPr>
          <w:rFonts w:hint="eastAsia" w:ascii="仿宋" w:hAnsi="仿宋" w:eastAsia="仿宋" w:cs="仿宋"/>
          <w:b/>
          <w:bCs w:val="0"/>
          <w:color w:val="000000" w:themeColor="text1"/>
          <w:sz w:val="32"/>
          <w:szCs w:val="32"/>
          <w14:textFill>
            <w14:solidFill>
              <w14:schemeClr w14:val="tx1"/>
            </w14:solidFill>
          </w14:textFill>
        </w:rPr>
      </w:pPr>
      <w:r>
        <w:rPr>
          <w:rFonts w:hint="eastAsia" w:ascii="仿宋" w:hAnsi="仿宋" w:eastAsia="仿宋" w:cs="仿宋"/>
          <w:b/>
          <w:bCs w:val="0"/>
          <w:color w:val="000000" w:themeColor="text1"/>
          <w:sz w:val="32"/>
          <w:szCs w:val="32"/>
          <w14:textFill>
            <w14:solidFill>
              <w14:schemeClr w14:val="tx1"/>
            </w14:solidFill>
          </w14:textFill>
        </w:rPr>
        <w:t>本报告由</w:t>
      </w:r>
      <w:r>
        <w:rPr>
          <w:rFonts w:hint="eastAsia" w:ascii="仿宋" w:hAnsi="仿宋" w:eastAsia="仿宋" w:cs="仿宋"/>
          <w:b/>
          <w:bCs w:val="0"/>
          <w:color w:val="000000" w:themeColor="text1"/>
          <w:sz w:val="32"/>
          <w:szCs w:val="32"/>
          <w:lang w:val="en-US" w:eastAsia="zh-CN"/>
          <w14:textFill>
            <w14:solidFill>
              <w14:schemeClr w14:val="tx1"/>
            </w14:solidFill>
          </w14:textFill>
        </w:rPr>
        <w:t>县市场监管局</w:t>
      </w:r>
      <w:r>
        <w:rPr>
          <w:rFonts w:hint="eastAsia" w:ascii="仿宋" w:hAnsi="仿宋" w:eastAsia="仿宋" w:cs="仿宋"/>
          <w:b/>
          <w:bCs w:val="0"/>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keepNext w:val="0"/>
        <w:keepLines w:val="0"/>
        <w:pageBreakBefore w:val="0"/>
        <w:kinsoku/>
        <w:wordWrap/>
        <w:overflowPunct/>
        <w:topLinePunct w:val="0"/>
        <w:autoSpaceDE/>
        <w:autoSpaceDN/>
        <w:bidi w:val="0"/>
        <w:adjustRightInd/>
        <w:snapToGrid/>
        <w:spacing w:line="560" w:lineRule="exact"/>
        <w:ind w:right="-101" w:rightChars="-50" w:firstLine="624" w:firstLineChars="200"/>
        <w:textAlignment w:val="auto"/>
        <w:rPr>
          <w:rFonts w:hint="eastAsia" w:ascii="仿宋" w:hAnsi="仿宋" w:eastAsia="仿宋" w:cs="仿宋"/>
          <w:b/>
          <w:bCs w:val="0"/>
          <w:color w:val="000000" w:themeColor="text1"/>
          <w:sz w:val="32"/>
          <w:szCs w:val="32"/>
          <w14:textFill>
            <w14:solidFill>
              <w14:schemeClr w14:val="tx1"/>
            </w14:solidFill>
          </w14:textFill>
        </w:rPr>
      </w:pPr>
      <w:r>
        <w:rPr>
          <w:rFonts w:hint="eastAsia" w:ascii="仿宋" w:hAnsi="仿宋" w:eastAsia="仿宋" w:cs="仿宋"/>
          <w:b/>
          <w:bCs w:val="0"/>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keepNext w:val="0"/>
        <w:keepLines w:val="0"/>
        <w:pageBreakBefore w:val="0"/>
        <w:kinsoku/>
        <w:wordWrap/>
        <w:overflowPunct/>
        <w:topLinePunct w:val="0"/>
        <w:autoSpaceDE/>
        <w:autoSpaceDN/>
        <w:bidi w:val="0"/>
        <w:adjustRightInd/>
        <w:snapToGrid/>
        <w:spacing w:line="560" w:lineRule="exact"/>
        <w:ind w:right="-101" w:rightChars="-50" w:firstLine="604" w:firstLineChars="200"/>
        <w:textAlignment w:val="auto"/>
        <w:rPr>
          <w:rFonts w:hint="eastAsia" w:ascii="仿宋" w:hAnsi="仿宋" w:eastAsia="仿宋" w:cs="仿宋"/>
          <w:b/>
          <w:bCs w:val="0"/>
          <w:color w:val="000000" w:themeColor="text1"/>
          <w:sz w:val="32"/>
          <w:szCs w:val="32"/>
          <w14:textFill>
            <w14:solidFill>
              <w14:schemeClr w14:val="tx1"/>
            </w14:solidFill>
          </w14:textFill>
        </w:rPr>
      </w:pPr>
      <w:r>
        <w:rPr>
          <w:rFonts w:hint="eastAsia" w:ascii="仿宋" w:hAnsi="仿宋" w:eastAsia="仿宋" w:cs="仿宋"/>
          <w:b/>
          <w:bCs w:val="0"/>
          <w:color w:val="000000"/>
          <w:kern w:val="0"/>
          <w:sz w:val="31"/>
          <w:szCs w:val="31"/>
          <w:lang w:val="en-US" w:eastAsia="zh-CN" w:bidi="ar"/>
        </w:rPr>
        <w:t>本报告所列数据的统计期限自2022年1月1日起至2022年12月31日止。本报告电子版可在微山县政府门户网站（http://www.weishan.gov.cn/）查阅或下载。</w:t>
      </w:r>
      <w:r>
        <w:rPr>
          <w:rFonts w:hint="eastAsia" w:ascii="仿宋" w:hAnsi="仿宋" w:eastAsia="仿宋" w:cs="仿宋"/>
          <w:b/>
          <w:bCs w:val="0"/>
          <w:color w:val="000000" w:themeColor="text1"/>
          <w:sz w:val="32"/>
          <w:szCs w:val="32"/>
          <w14:textFill>
            <w14:solidFill>
              <w14:schemeClr w14:val="tx1"/>
            </w14:solidFill>
          </w14:textFill>
        </w:rPr>
        <w:t>如对本报告有疑问，请与</w:t>
      </w:r>
      <w:r>
        <w:rPr>
          <w:rFonts w:hint="eastAsia" w:ascii="仿宋" w:hAnsi="仿宋" w:eastAsia="仿宋" w:cs="仿宋"/>
          <w:b/>
          <w:bCs w:val="0"/>
          <w:color w:val="000000" w:themeColor="text1"/>
          <w:sz w:val="32"/>
          <w:szCs w:val="32"/>
          <w:lang w:val="en-US" w:eastAsia="zh-CN"/>
          <w14:textFill>
            <w14:solidFill>
              <w14:schemeClr w14:val="tx1"/>
            </w14:solidFill>
          </w14:textFill>
        </w:rPr>
        <w:t>县市场监管局</w:t>
      </w:r>
      <w:r>
        <w:rPr>
          <w:rFonts w:hint="eastAsia" w:ascii="仿宋" w:hAnsi="仿宋" w:eastAsia="仿宋" w:cs="仿宋"/>
          <w:b/>
          <w:bCs w:val="0"/>
          <w:color w:val="000000" w:themeColor="text1"/>
          <w:sz w:val="32"/>
          <w:szCs w:val="32"/>
          <w14:textFill>
            <w14:solidFill>
              <w14:schemeClr w14:val="tx1"/>
            </w14:solidFill>
          </w14:textFill>
        </w:rPr>
        <w:t>联系（地址：山东省济宁市微山县东风东路109号，联系电话：0537-</w:t>
      </w:r>
      <w:r>
        <w:rPr>
          <w:rFonts w:hint="eastAsia" w:ascii="仿宋" w:hAnsi="仿宋" w:eastAsia="仿宋" w:cs="仿宋"/>
          <w:b/>
          <w:bCs w:val="0"/>
          <w:color w:val="000000" w:themeColor="text1"/>
          <w:sz w:val="32"/>
          <w:szCs w:val="32"/>
          <w:lang w:val="en-US" w:eastAsia="zh-CN"/>
          <w14:textFill>
            <w14:solidFill>
              <w14:schemeClr w14:val="tx1"/>
            </w14:solidFill>
          </w14:textFill>
        </w:rPr>
        <w:t>7810510</w:t>
      </w:r>
      <w:r>
        <w:rPr>
          <w:rFonts w:hint="eastAsia" w:ascii="仿宋" w:hAnsi="仿宋" w:eastAsia="仿宋" w:cs="仿宋"/>
          <w:b/>
          <w:bCs w:val="0"/>
          <w:color w:val="000000" w:themeColor="text1"/>
          <w:sz w:val="32"/>
          <w:szCs w:val="32"/>
          <w14:textFill>
            <w14:solidFill>
              <w14:schemeClr w14:val="tx1"/>
            </w14:solidFill>
          </w14:textFill>
        </w:rPr>
        <w:t>）。</w:t>
      </w:r>
    </w:p>
    <w:p>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24" w:firstLineChars="200"/>
        <w:jc w:val="both"/>
        <w:textAlignment w:val="auto"/>
        <w:rPr>
          <w:rFonts w:hint="eastAsia" w:ascii="黑体" w:hAnsi="黑体" w:eastAsia="黑体" w:cs="黑体"/>
          <w:b/>
          <w:sz w:val="32"/>
          <w:szCs w:val="32"/>
          <w:shd w:val="clear" w:color="auto" w:fill="FFFFFF"/>
        </w:rPr>
      </w:pPr>
      <w:r>
        <w:rPr>
          <w:rFonts w:hint="eastAsia" w:ascii="黑体" w:hAnsi="黑体" w:eastAsia="黑体" w:cs="黑体"/>
          <w:b/>
          <w:sz w:val="32"/>
          <w:szCs w:val="32"/>
          <w:shd w:val="clear" w:color="auto" w:fill="FFFFFF"/>
          <w:lang w:val="en-US" w:eastAsia="zh-CN"/>
        </w:rPr>
        <w:t>一、</w:t>
      </w:r>
      <w:r>
        <w:rPr>
          <w:rFonts w:hint="eastAsia" w:ascii="黑体" w:hAnsi="黑体" w:eastAsia="黑体" w:cs="黑体"/>
          <w:b/>
          <w:sz w:val="32"/>
          <w:szCs w:val="32"/>
          <w:shd w:val="clear" w:color="auto" w:fill="FFFFFF"/>
        </w:rPr>
        <w:t>总体情况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2022年，微山县市场监督管理局按照《中华人民共和国政府信息公开条例》和县委、县政府工作要求，持续完善政府信息主动公开基本目录，有序做好政府信息公开各项工作，深化重点领域信息公开，着力提升市场监管工作的透明度，增强人民群众获得感和满意度。</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主动公开情况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全面把握政府信息公开的主体、范围、内容、形式和程序，将政府信息公开工作与市场监管工作相结合。2022年我局主动公开政府信息563条，其中通过县政府门户网站公开的政府信息299条，通过“微山市场监管”微信公众号公开政府信息264条。依据市场监督管理的职能职责，及时主动向社会公开“双随机、一公开”执法检查、行政执法、食品药品监管、消费市场和产品质量等信息，发布市场监管工作动态，及时办理、发布人大代表建议和政协委员提案答复办理情况，2022年，共收到人大建议1条，政协提案6条，所有建议提案均在规定期限内办复完毕，办复率100%。</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drawing>
          <wp:inline distT="0" distB="0" distL="114300" distR="114300">
            <wp:extent cx="4629150" cy="3547745"/>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4629150" cy="354774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（二）依公开申请情况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积极畅通依申请公开受理渠道，及时回应群众依申请公开申请。2022年，我局收到政府信息公开申请2件，按时答复数 2件。</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560" w:lineRule="exact"/>
        <w:ind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政府信息管理情况</w:t>
      </w:r>
    </w:p>
    <w:p>
      <w:pPr>
        <w:keepNext w:val="0"/>
        <w:keepLines w:val="0"/>
        <w:pageBreakBefore w:val="0"/>
        <w:tabs>
          <w:tab w:val="left" w:pos="1866"/>
        </w:tabs>
        <w:kinsoku/>
        <w:wordWrap/>
        <w:overflowPunct/>
        <w:topLinePunct w:val="0"/>
        <w:autoSpaceDE/>
        <w:autoSpaceDN/>
        <w:bidi w:val="0"/>
        <w:adjustRightInd/>
        <w:snapToGrid/>
        <w:spacing w:line="560" w:lineRule="exact"/>
        <w:ind w:left="0" w:leftChars="0" w:right="0" w:rightChars="0" w:firstLine="64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一是以制度建设为抓手，不断完善政务公开规章制度，建立完善信息公开工作审批、保密审查制度，严格保密和内容审查，进一步规范政府信息公开规范化、标准化、制度化建设；二是结合工作实际，及时调整了政务公开工作领导小组，明确了信息公开工作的组织领导和工作职责；三是结合市场监管职能，围绕群众关心、社会关注的重点领域，不断拓宽公开范围，深化公开内容，扩展信息公开渠道，及时主动公开应公开信息，持续提升政务公开工作水平。</w:t>
      </w:r>
    </w:p>
    <w:p>
      <w:pPr>
        <w:keepNext w:val="0"/>
        <w:keepLines w:val="0"/>
        <w:pageBreakBefore w:val="0"/>
        <w:numPr>
          <w:ilvl w:val="0"/>
          <w:numId w:val="2"/>
        </w:numPr>
        <w:tabs>
          <w:tab w:val="left" w:pos="1866"/>
        </w:tabs>
        <w:kinsoku/>
        <w:wordWrap/>
        <w:overflowPunct/>
        <w:topLinePunct w:val="0"/>
        <w:autoSpaceDE/>
        <w:autoSpaceDN/>
        <w:bidi w:val="0"/>
        <w:adjustRightInd/>
        <w:snapToGrid/>
        <w:spacing w:line="560" w:lineRule="exact"/>
        <w:ind w:left="0" w:leftChars="0" w:right="0" w:rightChars="0"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政府信息公开平台建设情况</w:t>
      </w:r>
    </w:p>
    <w:p>
      <w:pPr>
        <w:keepNext w:val="0"/>
        <w:keepLines w:val="0"/>
        <w:pageBreakBefore w:val="0"/>
        <w:numPr>
          <w:ilvl w:val="0"/>
          <w:numId w:val="0"/>
        </w:numPr>
        <w:tabs>
          <w:tab w:val="left" w:pos="1866"/>
        </w:tabs>
        <w:kinsoku/>
        <w:wordWrap/>
        <w:overflowPunct/>
        <w:topLinePunct w:val="0"/>
        <w:autoSpaceDE/>
        <w:autoSpaceDN/>
        <w:bidi w:val="0"/>
        <w:adjustRightInd/>
        <w:snapToGrid/>
        <w:spacing w:line="560" w:lineRule="exact"/>
        <w:ind w:right="0" w:rightChars="0"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以线上公开为主渠道，发挥各类政府信息公开平台建设和渠道作用，以县政府门户网站为载体，紧紧围绕全县重点工作任务，切实做好信息的采集和公开工作，做好食品药品监管、消费市场和产品质量、行政执法等政府信息公开各栏目内容保障工作。依托“微山市场监管”微信公众平台，主动发布市场监管部门工作动态、消费警示和科普知识，更加方便快捷向群众公开市场监管信息，增进公众对市场监管工作的了解、支持和认同。</w:t>
      </w:r>
    </w:p>
    <w:p>
      <w:pPr>
        <w:keepNext w:val="0"/>
        <w:keepLines w:val="0"/>
        <w:pageBreakBefore w:val="0"/>
        <w:numPr>
          <w:ilvl w:val="0"/>
          <w:numId w:val="0"/>
        </w:numPr>
        <w:tabs>
          <w:tab w:val="left" w:pos="1866"/>
        </w:tabs>
        <w:kinsoku/>
        <w:wordWrap/>
        <w:overflowPunct/>
        <w:topLinePunct w:val="0"/>
        <w:autoSpaceDE/>
        <w:autoSpaceDN/>
        <w:bidi w:val="0"/>
        <w:adjustRightInd/>
        <w:snapToGrid/>
        <w:spacing w:line="560" w:lineRule="exact"/>
        <w:ind w:right="0" w:rightChars="0"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（五）监督保障情况</w:t>
      </w:r>
    </w:p>
    <w:p>
      <w:pPr>
        <w:keepNext w:val="0"/>
        <w:keepLines w:val="0"/>
        <w:pageBreakBefore w:val="0"/>
        <w:numPr>
          <w:ilvl w:val="0"/>
          <w:numId w:val="0"/>
        </w:numPr>
        <w:tabs>
          <w:tab w:val="left" w:pos="1866"/>
        </w:tabs>
        <w:kinsoku/>
        <w:wordWrap/>
        <w:overflowPunct/>
        <w:topLinePunct w:val="0"/>
        <w:autoSpaceDE/>
        <w:autoSpaceDN/>
        <w:bidi w:val="0"/>
        <w:adjustRightInd/>
        <w:snapToGrid/>
        <w:spacing w:line="560" w:lineRule="exact"/>
        <w:ind w:right="0" w:rightChars="0" w:firstLine="604" w:firstLineChars="200"/>
        <w:jc w:val="left"/>
        <w:textAlignment w:val="auto"/>
        <w:rPr>
          <w:rFonts w:hint="eastAsia" w:ascii="仿宋" w:hAnsi="仿宋" w:eastAsia="仿宋" w:cs="仿宋"/>
          <w:b/>
          <w:bCs w:val="0"/>
          <w:color w:val="000000"/>
          <w:kern w:val="0"/>
          <w:sz w:val="31"/>
          <w:szCs w:val="31"/>
          <w:lang w:val="en-US" w:eastAsia="zh-CN" w:bidi="ar"/>
        </w:rPr>
      </w:pPr>
      <w:r>
        <w:rPr>
          <w:rFonts w:hint="eastAsia" w:ascii="仿宋" w:hAnsi="仿宋" w:eastAsia="仿宋" w:cs="仿宋"/>
          <w:b/>
          <w:bCs w:val="0"/>
          <w:color w:val="000000"/>
          <w:kern w:val="0"/>
          <w:sz w:val="31"/>
          <w:szCs w:val="31"/>
          <w:lang w:val="en-US" w:eastAsia="zh-CN" w:bidi="ar"/>
        </w:rPr>
        <w:t>定期组织召开政务公开专题会议，研究部署推进政务公开工作。开展政务公开专题培训，全面提升政务公开工作水平。严格规范工作程序，确保政府信息公开的范围、形式、时限、程序等符合要求。做好网站信息维护工作，对不符合发布要求的信息及时整改，确保文字、格式规范。</w:t>
      </w:r>
    </w:p>
    <w:p>
      <w:pPr>
        <w:spacing w:line="590" w:lineRule="exact"/>
        <w:ind w:right="-101" w:rightChars="-50" w:firstLine="624" w:firstLineChars="200"/>
        <w:rPr>
          <w:rFonts w:hint="eastAsia" w:ascii="黑体" w:hAnsi="黑体" w:eastAsia="黑体" w:cs="黑体"/>
          <w:b/>
          <w:color w:val="000000" w:themeColor="text1"/>
          <w:sz w:val="32"/>
          <w:szCs w:val="32"/>
          <w14:textFill>
            <w14:solidFill>
              <w14:schemeClr w14:val="tx1"/>
            </w14:solidFill>
          </w14:textFill>
        </w:rPr>
      </w:pPr>
      <w:r>
        <w:rPr>
          <w:rFonts w:hint="eastAsia" w:ascii="黑体" w:hAnsi="黑体" w:eastAsia="黑体" w:cs="黑体"/>
          <w:b/>
          <w:color w:val="000000" w:themeColor="text1"/>
          <w:sz w:val="32"/>
          <w:szCs w:val="32"/>
          <w14:textFill>
            <w14:solidFill>
              <w14:schemeClr w14:val="tx1"/>
            </w14:solidFill>
          </w14:textFill>
        </w:rPr>
        <w:t>二、主动公开政府信息情况</w:t>
      </w:r>
    </w:p>
    <w:tbl>
      <w:tblPr>
        <w:tblStyle w:val="6"/>
        <w:tblW w:w="882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0" w:type="dxa"/>
          <w:left w:w="108" w:type="dxa"/>
          <w:bottom w:w="0" w:type="dxa"/>
          <w:right w:w="108" w:type="dxa"/>
        </w:tblCellMar>
      </w:tblPr>
      <w:tblGrid>
        <w:gridCol w:w="2206"/>
        <w:gridCol w:w="2206"/>
        <w:gridCol w:w="2206"/>
        <w:gridCol w:w="22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8824" w:type="dxa"/>
            <w:gridSpan w:val="4"/>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themeColor="text1"/>
                <w:sz w:val="28"/>
                <w:szCs w:val="28"/>
                <w14:textFill>
                  <w14:solidFill>
                    <w14:schemeClr w14:val="tx1"/>
                  </w14:solidFill>
                </w14:textFill>
              </w:rPr>
              <w:t>第二十条第（一）项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信息内容</w:t>
            </w:r>
          </w:p>
        </w:tc>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本年制发件数</w:t>
            </w:r>
          </w:p>
        </w:tc>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本年废止件数</w:t>
            </w:r>
          </w:p>
        </w:tc>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现行有效件数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90"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规章</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行政规范性文件</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824" w:type="dxa"/>
            <w:gridSpan w:val="4"/>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themeColor="text1"/>
                <w:sz w:val="28"/>
                <w:szCs w:val="28"/>
                <w14:textFill>
                  <w14:solidFill>
                    <w14:schemeClr w14:val="tx1"/>
                  </w14:solidFill>
                </w14:textFill>
              </w:rPr>
              <w:t>第二十条第（五）项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信息内容</w:t>
            </w:r>
          </w:p>
        </w:tc>
        <w:tc>
          <w:tcPr>
            <w:tcW w:w="6618" w:type="dxa"/>
            <w:gridSpan w:val="3"/>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本年处理决定数量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行政许可</w:t>
            </w:r>
          </w:p>
        </w:tc>
        <w:tc>
          <w:tcPr>
            <w:tcW w:w="6618" w:type="dxa"/>
            <w:gridSpan w:val="3"/>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8824" w:type="dxa"/>
            <w:gridSpan w:val="4"/>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themeColor="text1"/>
                <w:sz w:val="28"/>
                <w:szCs w:val="28"/>
                <w14:textFill>
                  <w14:solidFill>
                    <w14:schemeClr w14:val="tx1"/>
                  </w14:solidFill>
                </w14:textFill>
              </w:rPr>
              <w:t>第二十条第（六）项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信息内容</w:t>
            </w:r>
          </w:p>
        </w:tc>
        <w:tc>
          <w:tcPr>
            <w:tcW w:w="6618" w:type="dxa"/>
            <w:gridSpan w:val="3"/>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本年处理决定数量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行政处罚</w:t>
            </w:r>
          </w:p>
        </w:tc>
        <w:tc>
          <w:tcPr>
            <w:tcW w:w="6618" w:type="dxa"/>
            <w:gridSpan w:val="3"/>
            <w:shd w:val="clear" w:color="auto" w:fill="FFFFFF" w:themeFill="background1"/>
            <w:vAlign w:val="center"/>
          </w:tcPr>
          <w:p>
            <w:pPr>
              <w:widowControl/>
              <w:spacing w:line="340" w:lineRule="exact"/>
              <w:jc w:val="left"/>
              <w:rPr>
                <w:rFonts w:hint="default"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581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行政强制</w:t>
            </w:r>
          </w:p>
        </w:tc>
        <w:tc>
          <w:tcPr>
            <w:tcW w:w="6618" w:type="dxa"/>
            <w:gridSpan w:val="3"/>
            <w:shd w:val="clear" w:color="auto" w:fill="FFFFFF" w:themeFill="background1"/>
            <w:vAlign w:val="center"/>
          </w:tcPr>
          <w:p>
            <w:pPr>
              <w:widowControl/>
              <w:spacing w:line="340" w:lineRule="exact"/>
              <w:jc w:val="left"/>
              <w:rPr>
                <w:rFonts w:hint="default"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314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8824" w:type="dxa"/>
            <w:gridSpan w:val="4"/>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themeColor="text1"/>
                <w:sz w:val="28"/>
                <w:szCs w:val="28"/>
                <w14:textFill>
                  <w14:solidFill>
                    <w14:schemeClr w14:val="tx1"/>
                  </w14:solidFill>
                </w14:textFill>
              </w:rPr>
              <w:t>第二十条第（八）项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信息内容</w:t>
            </w:r>
          </w:p>
        </w:tc>
        <w:tc>
          <w:tcPr>
            <w:tcW w:w="6618" w:type="dxa"/>
            <w:gridSpan w:val="3"/>
            <w:shd w:val="clear" w:color="auto" w:fill="FFFFFF" w:themeFill="background1"/>
            <w:vAlign w:val="center"/>
          </w:tcPr>
          <w:p>
            <w:pPr>
              <w:widowControl/>
              <w:spacing w:line="340" w:lineRule="exact"/>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本年收费金额（单位：万元）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397" w:hRule="atLeast"/>
          <w:jc w:val="center"/>
        </w:trPr>
        <w:tc>
          <w:tcPr>
            <w:tcW w:w="2206" w:type="dxa"/>
            <w:shd w:val="clear" w:color="auto" w:fill="FFFFFF" w:themeFill="background1"/>
            <w:vAlign w:val="center"/>
          </w:tcPr>
          <w:p>
            <w:pPr>
              <w:widowControl/>
              <w:spacing w:line="34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行政事业性收费</w:t>
            </w:r>
          </w:p>
        </w:tc>
        <w:tc>
          <w:tcPr>
            <w:tcW w:w="6618" w:type="dxa"/>
            <w:gridSpan w:val="3"/>
            <w:shd w:val="clear" w:color="auto" w:fill="FFFFFF" w:themeFill="background1"/>
            <w:vAlign w:val="center"/>
          </w:tcPr>
          <w:p>
            <w:pPr>
              <w:widowControl/>
              <w:spacing w:line="340" w:lineRule="exact"/>
              <w:jc w:val="left"/>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rPr>
              <w:t>　</w:t>
            </w:r>
            <w:r>
              <w:rPr>
                <w:rFonts w:hint="eastAsia" w:ascii="仿宋" w:hAnsi="仿宋" w:eastAsia="仿宋" w:cs="仿宋"/>
                <w:b/>
                <w:color w:val="000000"/>
                <w:sz w:val="28"/>
                <w:szCs w:val="28"/>
                <w:lang w:val="en-US" w:eastAsia="zh-CN"/>
              </w:rPr>
              <w:t>0</w:t>
            </w:r>
          </w:p>
        </w:tc>
      </w:tr>
    </w:tbl>
    <w:p>
      <w:pPr>
        <w:spacing w:line="590" w:lineRule="exact"/>
        <w:ind w:right="-101" w:rightChars="-50" w:firstLine="624" w:firstLineChars="200"/>
        <w:rPr>
          <w:rFonts w:hint="eastAsia" w:ascii="黑体" w:hAnsi="黑体" w:eastAsia="黑体" w:cs="黑体"/>
          <w:b/>
          <w:color w:val="000000" w:themeColor="text1"/>
          <w:sz w:val="32"/>
          <w:szCs w:val="32"/>
          <w14:textFill>
            <w14:solidFill>
              <w14:schemeClr w14:val="tx1"/>
            </w14:solidFill>
          </w14:textFill>
        </w:rPr>
      </w:pPr>
      <w:r>
        <w:rPr>
          <w:rFonts w:hint="eastAsia" w:ascii="黑体" w:hAnsi="黑体" w:eastAsia="黑体" w:cs="黑体"/>
          <w:b/>
          <w:color w:val="000000" w:themeColor="text1"/>
          <w:sz w:val="32"/>
          <w:szCs w:val="32"/>
          <w:lang w:eastAsia="zh-CN"/>
          <w14:textFill>
            <w14:solidFill>
              <w14:schemeClr w14:val="tx1"/>
            </w14:solidFill>
          </w14:textFill>
        </w:rPr>
        <w:t>三、</w:t>
      </w:r>
      <w:r>
        <w:rPr>
          <w:rFonts w:hint="eastAsia" w:ascii="黑体" w:hAnsi="黑体" w:eastAsia="黑体" w:cs="黑体"/>
          <w:b/>
          <w:color w:val="000000" w:themeColor="text1"/>
          <w:sz w:val="32"/>
          <w:szCs w:val="32"/>
          <w14:textFill>
            <w14:solidFill>
              <w14:schemeClr w14:val="tx1"/>
            </w14:solidFill>
          </w14:textFill>
        </w:rPr>
        <w:t>收到和处理政府信息公开申请情况</w:t>
      </w:r>
    </w:p>
    <w:p>
      <w:pPr>
        <w:spacing w:line="240" w:lineRule="exact"/>
        <w:ind w:right="-101" w:rightChars="-50"/>
        <w:jc w:val="center"/>
        <w:rPr>
          <w:rFonts w:hint="default" w:ascii="Times New Roman" w:hAnsi="Times New Roman" w:eastAsia="文星仿宋" w:cs="Times New Roman"/>
          <w:b/>
          <w:color w:val="000000"/>
          <w:sz w:val="32"/>
          <w:szCs w:val="32"/>
        </w:rPr>
      </w:pPr>
    </w:p>
    <w:tbl>
      <w:tblPr>
        <w:tblStyle w:val="6"/>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5"/>
        <w:gridCol w:w="1162"/>
        <w:gridCol w:w="2581"/>
        <w:gridCol w:w="829"/>
        <w:gridCol w:w="567"/>
        <w:gridCol w:w="567"/>
        <w:gridCol w:w="571"/>
        <w:gridCol w:w="567"/>
        <w:gridCol w:w="567"/>
        <w:gridCol w:w="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8" w:type="dxa"/>
            <w:gridSpan w:val="3"/>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（本列数据的勾稽关系为：第一项加第二项之和，</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等于第三项加第四项之和）</w:t>
            </w:r>
          </w:p>
        </w:tc>
        <w:tc>
          <w:tcPr>
            <w:tcW w:w="4129" w:type="dxa"/>
            <w:gridSpan w:val="7"/>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698" w:type="dxa"/>
            <w:gridSpan w:val="3"/>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829" w:type="dxa"/>
            <w:vMerge w:val="restart"/>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rPr>
              <w:t>自然人</w:t>
            </w:r>
          </w:p>
        </w:tc>
        <w:tc>
          <w:tcPr>
            <w:tcW w:w="2839" w:type="dxa"/>
            <w:gridSpan w:val="5"/>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rPr>
              <w:t>法人或其他组织</w:t>
            </w:r>
          </w:p>
        </w:tc>
        <w:tc>
          <w:tcPr>
            <w:tcW w:w="461" w:type="dxa"/>
            <w:vMerge w:val="restart"/>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3" w:hRule="atLeast"/>
          <w:jc w:val="center"/>
        </w:trPr>
        <w:tc>
          <w:tcPr>
            <w:tcW w:w="4698" w:type="dxa"/>
            <w:gridSpan w:val="3"/>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829" w:type="dxa"/>
            <w:vMerge w:val="continue"/>
            <w:shd w:val="clear" w:color="auto" w:fill="auto"/>
            <w:tcMar>
              <w:left w:w="108" w:type="dxa"/>
              <w:right w:w="108" w:type="dxa"/>
            </w:tcMar>
            <w:vAlign w:val="center"/>
          </w:tcPr>
          <w:p>
            <w:pPr>
              <w:spacing w:line="260" w:lineRule="exact"/>
              <w:jc w:val="center"/>
              <w:rPr>
                <w:rFonts w:hint="eastAsia" w:ascii="仿宋" w:hAnsi="仿宋" w:eastAsia="仿宋" w:cs="仿宋"/>
                <w:b/>
                <w:sz w:val="28"/>
                <w:szCs w:val="28"/>
              </w:rPr>
            </w:pPr>
          </w:p>
        </w:tc>
        <w:tc>
          <w:tcPr>
            <w:tcW w:w="567" w:type="dxa"/>
            <w:shd w:val="clear" w:color="auto" w:fill="auto"/>
            <w:tcMar>
              <w:left w:w="108" w:type="dxa"/>
              <w:right w:w="108" w:type="dxa"/>
            </w:tcMar>
            <w:vAlign w:val="center"/>
          </w:tcPr>
          <w:p>
            <w:pPr>
              <w:widowControl/>
              <w:spacing w:line="260" w:lineRule="exact"/>
              <w:ind w:left="-102" w:leftChars="-51" w:right="-103" w:rightChars="-51" w:hanging="1"/>
              <w:jc w:val="center"/>
              <w:rPr>
                <w:rFonts w:hint="eastAsia" w:ascii="仿宋" w:hAnsi="仿宋" w:eastAsia="仿宋" w:cs="仿宋"/>
                <w:b/>
                <w:sz w:val="28"/>
                <w:szCs w:val="28"/>
              </w:rPr>
            </w:pPr>
            <w:r>
              <w:rPr>
                <w:rFonts w:hint="eastAsia" w:ascii="仿宋" w:hAnsi="仿宋" w:eastAsia="仿宋" w:cs="仿宋"/>
                <w:b/>
                <w:sz w:val="28"/>
                <w:szCs w:val="28"/>
              </w:rPr>
              <w:t>商业企业</w:t>
            </w:r>
          </w:p>
        </w:tc>
        <w:tc>
          <w:tcPr>
            <w:tcW w:w="567" w:type="dxa"/>
            <w:shd w:val="clear" w:color="auto" w:fill="auto"/>
            <w:tcMar>
              <w:left w:w="108" w:type="dxa"/>
              <w:right w:w="108" w:type="dxa"/>
            </w:tcMar>
            <w:vAlign w:val="center"/>
          </w:tcPr>
          <w:p>
            <w:pPr>
              <w:widowControl/>
              <w:spacing w:line="260" w:lineRule="exact"/>
              <w:ind w:left="-103" w:leftChars="-51" w:right="-103" w:rightChars="-51"/>
              <w:jc w:val="center"/>
              <w:rPr>
                <w:rFonts w:hint="eastAsia" w:ascii="仿宋" w:hAnsi="仿宋" w:eastAsia="仿宋" w:cs="仿宋"/>
                <w:b/>
                <w:sz w:val="28"/>
                <w:szCs w:val="28"/>
              </w:rPr>
            </w:pPr>
            <w:r>
              <w:rPr>
                <w:rFonts w:hint="eastAsia" w:ascii="仿宋" w:hAnsi="仿宋" w:eastAsia="仿宋" w:cs="仿宋"/>
                <w:b/>
                <w:sz w:val="28"/>
                <w:szCs w:val="28"/>
              </w:rPr>
              <w:t>科研机构</w:t>
            </w:r>
          </w:p>
        </w:tc>
        <w:tc>
          <w:tcPr>
            <w:tcW w:w="571" w:type="dxa"/>
            <w:shd w:val="clear" w:color="auto" w:fill="auto"/>
            <w:tcMar>
              <w:left w:w="108" w:type="dxa"/>
              <w:right w:w="108" w:type="dxa"/>
            </w:tcMar>
            <w:vAlign w:val="center"/>
          </w:tcPr>
          <w:p>
            <w:pPr>
              <w:widowControl/>
              <w:spacing w:line="260" w:lineRule="exact"/>
              <w:ind w:left="-103" w:leftChars="-51" w:right="-103" w:rightChars="-51"/>
              <w:jc w:val="center"/>
              <w:rPr>
                <w:rFonts w:hint="eastAsia" w:ascii="仿宋" w:hAnsi="仿宋" w:eastAsia="仿宋" w:cs="仿宋"/>
                <w:b/>
                <w:sz w:val="28"/>
                <w:szCs w:val="28"/>
              </w:rPr>
            </w:pPr>
            <w:r>
              <w:rPr>
                <w:rFonts w:hint="eastAsia" w:ascii="仿宋" w:hAnsi="仿宋" w:eastAsia="仿宋" w:cs="仿宋"/>
                <w:b/>
                <w:sz w:val="28"/>
                <w:szCs w:val="28"/>
              </w:rPr>
              <w:t>社会公益组织</w:t>
            </w:r>
          </w:p>
        </w:tc>
        <w:tc>
          <w:tcPr>
            <w:tcW w:w="567" w:type="dxa"/>
            <w:shd w:val="clear" w:color="auto" w:fill="auto"/>
            <w:tcMar>
              <w:left w:w="108" w:type="dxa"/>
              <w:right w:w="108" w:type="dxa"/>
            </w:tcMar>
            <w:vAlign w:val="center"/>
          </w:tcPr>
          <w:p>
            <w:pPr>
              <w:widowControl/>
              <w:spacing w:line="260" w:lineRule="exact"/>
              <w:ind w:left="-102" w:leftChars="-51" w:right="-103" w:rightChars="-51" w:hanging="1"/>
              <w:jc w:val="center"/>
              <w:rPr>
                <w:rFonts w:hint="eastAsia" w:ascii="仿宋" w:hAnsi="仿宋" w:eastAsia="仿宋" w:cs="仿宋"/>
                <w:b/>
                <w:sz w:val="28"/>
                <w:szCs w:val="28"/>
              </w:rPr>
            </w:pPr>
            <w:r>
              <w:rPr>
                <w:rFonts w:hint="eastAsia" w:ascii="仿宋" w:hAnsi="仿宋" w:eastAsia="仿宋" w:cs="仿宋"/>
                <w:b/>
                <w:sz w:val="28"/>
                <w:szCs w:val="28"/>
              </w:rPr>
              <w:t>法律服务机构</w:t>
            </w:r>
          </w:p>
        </w:tc>
        <w:tc>
          <w:tcPr>
            <w:tcW w:w="567" w:type="dxa"/>
            <w:shd w:val="clear" w:color="auto" w:fill="auto"/>
            <w:tcMar>
              <w:left w:w="108" w:type="dxa"/>
              <w:right w:w="108" w:type="dxa"/>
            </w:tcMar>
            <w:vAlign w:val="center"/>
          </w:tcPr>
          <w:p>
            <w:pPr>
              <w:widowControl/>
              <w:spacing w:line="260" w:lineRule="exact"/>
              <w:ind w:left="-60" w:leftChars="-30" w:right="-129" w:rightChars="-64"/>
              <w:jc w:val="center"/>
              <w:rPr>
                <w:rFonts w:hint="eastAsia" w:ascii="仿宋" w:hAnsi="仿宋" w:eastAsia="仿宋" w:cs="仿宋"/>
                <w:b/>
                <w:sz w:val="28"/>
                <w:szCs w:val="28"/>
              </w:rPr>
            </w:pPr>
            <w:r>
              <w:rPr>
                <w:rFonts w:hint="eastAsia" w:ascii="仿宋" w:hAnsi="仿宋" w:eastAsia="仿宋" w:cs="仿宋"/>
                <w:b/>
                <w:sz w:val="28"/>
                <w:szCs w:val="28"/>
              </w:rPr>
              <w:t>其他</w:t>
            </w:r>
          </w:p>
        </w:tc>
        <w:tc>
          <w:tcPr>
            <w:tcW w:w="461" w:type="dxa"/>
            <w:vMerge w:val="continue"/>
            <w:shd w:val="clear" w:color="auto" w:fill="auto"/>
            <w:tcMar>
              <w:left w:w="108" w:type="dxa"/>
              <w:right w:w="108" w:type="dxa"/>
            </w:tcMar>
            <w:vAlign w:val="center"/>
          </w:tcPr>
          <w:p>
            <w:pPr>
              <w:spacing w:line="260" w:lineRule="exact"/>
              <w:jc w:val="center"/>
              <w:rPr>
                <w:rFonts w:hint="eastAsia"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4698" w:type="dxa"/>
            <w:gridSpan w:val="3"/>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一、本年新收政府信息公开申请数量</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2</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jc w:val="center"/>
        </w:trPr>
        <w:tc>
          <w:tcPr>
            <w:tcW w:w="4698" w:type="dxa"/>
            <w:gridSpan w:val="3"/>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二、上年结转政府信息公开申请数量</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55" w:type="dxa"/>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三、本年度办理结果</w:t>
            </w:r>
          </w:p>
        </w:tc>
        <w:tc>
          <w:tcPr>
            <w:tcW w:w="3743"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（一）予以公开</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1</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955"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3743"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（二）部分公开（区分处理的，只计这一情形，不计其他情形）</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1</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（三）不予公开</w:t>
            </w: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1.属于国家秘密</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7"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2.其他法律行政法规禁止公开</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3.危及“三安全一稳定”</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4.保护第三方合法权益</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5.属于三类内部事务信息</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6.属于四类过程性信息</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7.属于行政执法案卷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8.属于行政查询事项</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（四）无法提供</w:t>
            </w: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1.本机关不掌握相关政府信息</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2.没有现成信息需要另行制作</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3.</w:t>
            </w:r>
            <w:r>
              <w:rPr>
                <w:rFonts w:hint="eastAsia" w:ascii="仿宋" w:hAnsi="仿宋" w:eastAsia="仿宋" w:cs="仿宋"/>
                <w:b/>
                <w:spacing w:val="-8"/>
                <w:sz w:val="28"/>
                <w:szCs w:val="28"/>
              </w:rPr>
              <w:t>补正后申请内容仍不明确</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（五）不予处理</w:t>
            </w: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1.信访举报投诉类申请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widowControl/>
              <w:spacing w:line="260" w:lineRule="exact"/>
              <w:rPr>
                <w:rFonts w:hint="eastAsia" w:ascii="仿宋" w:hAnsi="仿宋" w:eastAsia="仿宋" w:cs="仿宋"/>
                <w:b/>
                <w:sz w:val="28"/>
                <w:szCs w:val="28"/>
              </w:rPr>
            </w:pPr>
            <w:r>
              <w:rPr>
                <w:rFonts w:hint="eastAsia" w:ascii="仿宋" w:hAnsi="仿宋" w:eastAsia="仿宋" w:cs="仿宋"/>
                <w:b/>
                <w:sz w:val="28"/>
                <w:szCs w:val="28"/>
              </w:rPr>
              <w:t>2.重复申请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3.要求提供公开出版物</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4.</w:t>
            </w:r>
            <w:r>
              <w:rPr>
                <w:rFonts w:hint="eastAsia" w:ascii="仿宋" w:hAnsi="仿宋" w:eastAsia="仿宋" w:cs="仿宋"/>
                <w:b/>
                <w:spacing w:val="-8"/>
                <w:sz w:val="28"/>
                <w:szCs w:val="28"/>
              </w:rPr>
              <w:t>无正当理由大量反复申请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2581" w:type="dxa"/>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5.要求行政机关确认或重新出具已获取信息</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restart"/>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（六）其他处理</w:t>
            </w:r>
          </w:p>
        </w:tc>
        <w:tc>
          <w:tcPr>
            <w:tcW w:w="25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1</w:t>
            </w:r>
            <w:r>
              <w:rPr>
                <w:rFonts w:hint="eastAsia" w:ascii="仿宋" w:hAnsi="仿宋" w:eastAsia="仿宋" w:cs="仿宋"/>
                <w:b/>
                <w:color w:val="000000"/>
                <w:sz w:val="28"/>
                <w:szCs w:val="28"/>
              </w:rPr>
              <w:t>.申请人无正当理由逾期不补正、行政机关不再处理其政府信息公开申请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0"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widowControl/>
              <w:spacing w:line="260" w:lineRule="exact"/>
              <w:rPr>
                <w:rFonts w:hint="eastAsia" w:ascii="仿宋" w:hAnsi="仿宋" w:eastAsia="仿宋" w:cs="仿宋"/>
                <w:b/>
                <w:sz w:val="28"/>
                <w:szCs w:val="28"/>
              </w:rPr>
            </w:pPr>
          </w:p>
        </w:tc>
        <w:tc>
          <w:tcPr>
            <w:tcW w:w="25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2</w:t>
            </w:r>
            <w:r>
              <w:rPr>
                <w:rFonts w:hint="eastAsia" w:ascii="仿宋" w:hAnsi="仿宋" w:eastAsia="仿宋" w:cs="仿宋"/>
                <w:b/>
                <w:color w:val="000000"/>
                <w:sz w:val="28"/>
                <w:szCs w:val="28"/>
              </w:rPr>
              <w:t>.申请人逾期未按收费通知要求缴纳费用、行政机关不再处理其政府信息公开申请</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55" w:type="dxa"/>
            <w:vMerge w:val="continue"/>
            <w:shd w:val="clear" w:color="auto" w:fill="auto"/>
            <w:tcMar>
              <w:left w:w="108" w:type="dxa"/>
              <w:right w:w="108" w:type="dxa"/>
            </w:tcMar>
            <w:vAlign w:val="center"/>
          </w:tcPr>
          <w:p>
            <w:pPr>
              <w:spacing w:line="260" w:lineRule="exact"/>
              <w:rPr>
                <w:rFonts w:hint="eastAsia" w:ascii="仿宋" w:hAnsi="仿宋" w:eastAsia="仿宋" w:cs="仿宋"/>
                <w:b/>
                <w:sz w:val="28"/>
                <w:szCs w:val="28"/>
              </w:rPr>
            </w:pPr>
          </w:p>
        </w:tc>
        <w:tc>
          <w:tcPr>
            <w:tcW w:w="1162" w:type="dxa"/>
            <w:vMerge w:val="continue"/>
            <w:shd w:val="clear" w:color="auto" w:fill="auto"/>
            <w:tcMar>
              <w:left w:w="108" w:type="dxa"/>
              <w:right w:w="108" w:type="dxa"/>
            </w:tcMar>
            <w:vAlign w:val="center"/>
          </w:tcPr>
          <w:p>
            <w:pPr>
              <w:widowControl/>
              <w:spacing w:line="260" w:lineRule="exact"/>
              <w:rPr>
                <w:rFonts w:hint="eastAsia" w:ascii="仿宋" w:hAnsi="仿宋" w:eastAsia="仿宋" w:cs="仿宋"/>
                <w:b/>
                <w:sz w:val="28"/>
                <w:szCs w:val="28"/>
              </w:rPr>
            </w:pPr>
          </w:p>
        </w:tc>
        <w:tc>
          <w:tcPr>
            <w:tcW w:w="2581" w:type="dxa"/>
            <w:shd w:val="clear" w:color="auto" w:fill="auto"/>
            <w:vAlign w:val="center"/>
          </w:tcPr>
          <w:p>
            <w:pPr>
              <w:widowControl/>
              <w:spacing w:line="260" w:lineRule="exact"/>
              <w:rPr>
                <w:rFonts w:hint="eastAsia" w:ascii="仿宋" w:hAnsi="仿宋" w:eastAsia="仿宋" w:cs="仿宋"/>
                <w:b/>
                <w:sz w:val="28"/>
                <w:szCs w:val="28"/>
              </w:rPr>
            </w:pPr>
            <w:r>
              <w:rPr>
                <w:rFonts w:hint="eastAsia" w:ascii="仿宋" w:hAnsi="仿宋" w:eastAsia="仿宋" w:cs="仿宋"/>
                <w:b/>
                <w:sz w:val="28"/>
                <w:szCs w:val="28"/>
              </w:rPr>
              <w:t>3.其他</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955" w:type="dxa"/>
            <w:vMerge w:val="continue"/>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p>
        </w:tc>
        <w:tc>
          <w:tcPr>
            <w:tcW w:w="3743" w:type="dxa"/>
            <w:gridSpan w:val="2"/>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（七）总计</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2</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4698" w:type="dxa"/>
            <w:gridSpan w:val="3"/>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sz w:val="28"/>
                <w:szCs w:val="28"/>
              </w:rPr>
            </w:pPr>
            <w:r>
              <w:rPr>
                <w:rFonts w:hint="eastAsia" w:ascii="仿宋" w:hAnsi="仿宋" w:eastAsia="仿宋" w:cs="仿宋"/>
                <w:b/>
                <w:sz w:val="28"/>
                <w:szCs w:val="28"/>
              </w:rPr>
              <w:t>四、结转下年度继续办理</w:t>
            </w:r>
          </w:p>
        </w:tc>
        <w:tc>
          <w:tcPr>
            <w:tcW w:w="829"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7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567"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c>
          <w:tcPr>
            <w:tcW w:w="461" w:type="dxa"/>
            <w:shd w:val="clear" w:color="auto" w:fill="auto"/>
            <w:tcMar>
              <w:left w:w="108" w:type="dxa"/>
              <w:right w:w="108" w:type="dxa"/>
            </w:tcMar>
            <w:vAlign w:val="center"/>
          </w:tcPr>
          <w:p>
            <w:pPr>
              <w:widowControl/>
              <w:spacing w:line="260" w:lineRule="exact"/>
              <w:jc w:val="center"/>
              <w:rPr>
                <w:rFonts w:hint="eastAsia" w:ascii="仿宋" w:hAnsi="仿宋" w:eastAsia="仿宋" w:cs="仿宋"/>
                <w:b/>
                <w:sz w:val="28"/>
                <w:szCs w:val="28"/>
              </w:rPr>
            </w:pPr>
            <w:r>
              <w:rPr>
                <w:rFonts w:hint="eastAsia" w:ascii="仿宋" w:hAnsi="仿宋" w:eastAsia="仿宋" w:cs="仿宋"/>
                <w:b/>
                <w:sz w:val="28"/>
                <w:szCs w:val="28"/>
                <w:lang w:val="en-US" w:eastAsia="zh-CN"/>
              </w:rPr>
              <w:t>0</w:t>
            </w:r>
          </w:p>
        </w:tc>
      </w:tr>
    </w:tbl>
    <w:p>
      <w:pPr>
        <w:spacing w:line="590" w:lineRule="exact"/>
        <w:ind w:right="-101" w:rightChars="-50" w:firstLine="624" w:firstLineChars="200"/>
        <w:rPr>
          <w:rFonts w:hint="eastAsia" w:ascii="黑体" w:hAnsi="黑体" w:eastAsia="黑体" w:cs="黑体"/>
          <w:b/>
          <w:sz w:val="32"/>
          <w:szCs w:val="32"/>
        </w:rPr>
      </w:pPr>
      <w:r>
        <w:rPr>
          <w:rFonts w:hint="eastAsia" w:ascii="黑体" w:hAnsi="黑体" w:eastAsia="黑体" w:cs="黑体"/>
          <w:b/>
          <w:sz w:val="32"/>
          <w:szCs w:val="32"/>
          <w:lang w:eastAsia="zh-CN"/>
        </w:rPr>
        <w:t>四、</w:t>
      </w:r>
      <w:r>
        <w:rPr>
          <w:rFonts w:hint="eastAsia" w:ascii="黑体" w:hAnsi="黑体" w:eastAsia="黑体" w:cs="黑体"/>
          <w:b/>
          <w:sz w:val="32"/>
          <w:szCs w:val="32"/>
        </w:rPr>
        <w:t>因政府信息公开工作被申请行政复议、提起行政诉讼情况</w:t>
      </w:r>
    </w:p>
    <w:p>
      <w:pPr>
        <w:spacing w:line="240" w:lineRule="exact"/>
        <w:ind w:right="-101" w:rightChars="-50"/>
        <w:jc w:val="center"/>
        <w:rPr>
          <w:rFonts w:hint="default" w:ascii="Times New Roman" w:hAnsi="Times New Roman" w:eastAsia="文星仿宋" w:cs="Times New Roman"/>
          <w:b/>
          <w:color w:val="000000"/>
          <w:sz w:val="32"/>
          <w:szCs w:val="32"/>
        </w:rPr>
      </w:pPr>
    </w:p>
    <w:tbl>
      <w:tblPr>
        <w:tblStyle w:val="6"/>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4"/>
        <w:gridCol w:w="604"/>
        <w:gridCol w:w="604"/>
        <w:gridCol w:w="604"/>
        <w:gridCol w:w="479"/>
        <w:gridCol w:w="550"/>
        <w:gridCol w:w="605"/>
        <w:gridCol w:w="605"/>
        <w:gridCol w:w="605"/>
        <w:gridCol w:w="578"/>
        <w:gridCol w:w="605"/>
        <w:gridCol w:w="605"/>
        <w:gridCol w:w="605"/>
        <w:gridCol w:w="606"/>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2895" w:type="dxa"/>
            <w:gridSpan w:val="5"/>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行政复议</w:t>
            </w:r>
          </w:p>
        </w:tc>
        <w:tc>
          <w:tcPr>
            <w:tcW w:w="5922" w:type="dxa"/>
            <w:gridSpan w:val="10"/>
            <w:shd w:val="clear" w:color="auto" w:fill="auto"/>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604" w:type="dxa"/>
            <w:vMerge w:val="restart"/>
            <w:shd w:val="clear" w:color="auto" w:fill="auto"/>
            <w:tcMar>
              <w:left w:w="108" w:type="dxa"/>
              <w:right w:w="108" w:type="dxa"/>
            </w:tcMar>
            <w:vAlign w:val="center"/>
          </w:tcPr>
          <w:p>
            <w:pPr>
              <w:widowControl/>
              <w:spacing w:line="320" w:lineRule="exact"/>
              <w:ind w:left="-143" w:leftChars="-71" w:right="-163" w:rightChars="-81"/>
              <w:jc w:val="center"/>
              <w:rPr>
                <w:rFonts w:hint="eastAsia" w:ascii="仿宋" w:hAnsi="仿宋" w:eastAsia="仿宋" w:cs="仿宋"/>
                <w:b/>
                <w:sz w:val="28"/>
                <w:szCs w:val="28"/>
              </w:rPr>
            </w:pPr>
            <w:r>
              <w:rPr>
                <w:rFonts w:hint="eastAsia" w:ascii="仿宋" w:hAnsi="仿宋" w:eastAsia="仿宋" w:cs="仿宋"/>
                <w:b/>
                <w:sz w:val="28"/>
                <w:szCs w:val="28"/>
              </w:rPr>
              <w:t>结果</w:t>
            </w:r>
          </w:p>
          <w:p>
            <w:pPr>
              <w:widowControl/>
              <w:spacing w:line="320" w:lineRule="exact"/>
              <w:ind w:left="-143" w:leftChars="-71" w:right="-163" w:rightChars="-81"/>
              <w:jc w:val="center"/>
              <w:rPr>
                <w:rFonts w:hint="eastAsia" w:ascii="仿宋" w:hAnsi="仿宋" w:eastAsia="仿宋" w:cs="仿宋"/>
                <w:b/>
                <w:sz w:val="28"/>
                <w:szCs w:val="28"/>
              </w:rPr>
            </w:pPr>
            <w:r>
              <w:rPr>
                <w:rFonts w:hint="eastAsia" w:ascii="仿宋" w:hAnsi="仿宋" w:eastAsia="仿宋" w:cs="仿宋"/>
                <w:b/>
                <w:sz w:val="28"/>
                <w:szCs w:val="28"/>
              </w:rPr>
              <w:t>维持</w:t>
            </w:r>
          </w:p>
        </w:tc>
        <w:tc>
          <w:tcPr>
            <w:tcW w:w="604" w:type="dxa"/>
            <w:vMerge w:val="restart"/>
            <w:shd w:val="clear" w:color="auto" w:fill="auto"/>
            <w:tcMar>
              <w:left w:w="108" w:type="dxa"/>
              <w:right w:w="108" w:type="dxa"/>
            </w:tcMar>
            <w:vAlign w:val="center"/>
          </w:tcPr>
          <w:p>
            <w:pPr>
              <w:widowControl/>
              <w:spacing w:line="320" w:lineRule="exact"/>
              <w:ind w:left="-41" w:leftChars="-21" w:right="-127" w:rightChars="-63" w:hanging="1"/>
              <w:jc w:val="center"/>
              <w:rPr>
                <w:rFonts w:hint="eastAsia" w:ascii="仿宋" w:hAnsi="仿宋" w:eastAsia="仿宋" w:cs="仿宋"/>
                <w:b/>
                <w:sz w:val="28"/>
                <w:szCs w:val="28"/>
              </w:rPr>
            </w:pPr>
            <w:r>
              <w:rPr>
                <w:rFonts w:hint="eastAsia" w:ascii="仿宋" w:hAnsi="仿宋" w:eastAsia="仿宋" w:cs="仿宋"/>
                <w:b/>
                <w:sz w:val="28"/>
                <w:szCs w:val="28"/>
              </w:rPr>
              <w:t>结果纠正</w:t>
            </w:r>
          </w:p>
        </w:tc>
        <w:tc>
          <w:tcPr>
            <w:tcW w:w="604" w:type="dxa"/>
            <w:vMerge w:val="restart"/>
            <w:shd w:val="clear" w:color="auto" w:fill="auto"/>
            <w:tcMar>
              <w:left w:w="108" w:type="dxa"/>
              <w:right w:w="108" w:type="dxa"/>
            </w:tcMar>
            <w:vAlign w:val="center"/>
          </w:tcPr>
          <w:p>
            <w:pPr>
              <w:widowControl/>
              <w:spacing w:line="320" w:lineRule="exact"/>
              <w:ind w:left="-78" w:leftChars="-39" w:right="-92" w:rightChars="-46"/>
              <w:jc w:val="center"/>
              <w:rPr>
                <w:rFonts w:hint="eastAsia" w:ascii="仿宋" w:hAnsi="仿宋" w:eastAsia="仿宋" w:cs="仿宋"/>
                <w:b/>
                <w:sz w:val="28"/>
                <w:szCs w:val="28"/>
              </w:rPr>
            </w:pPr>
            <w:r>
              <w:rPr>
                <w:rFonts w:hint="eastAsia" w:ascii="仿宋" w:hAnsi="仿宋" w:eastAsia="仿宋" w:cs="仿宋"/>
                <w:b/>
                <w:sz w:val="28"/>
                <w:szCs w:val="28"/>
              </w:rPr>
              <w:t>其他结果</w:t>
            </w:r>
          </w:p>
        </w:tc>
        <w:tc>
          <w:tcPr>
            <w:tcW w:w="604" w:type="dxa"/>
            <w:vMerge w:val="restart"/>
            <w:shd w:val="clear" w:color="auto" w:fill="auto"/>
            <w:tcMar>
              <w:left w:w="108" w:type="dxa"/>
              <w:right w:w="108" w:type="dxa"/>
            </w:tcMar>
            <w:vAlign w:val="center"/>
          </w:tcPr>
          <w:p>
            <w:pPr>
              <w:widowControl/>
              <w:spacing w:line="320" w:lineRule="exact"/>
              <w:ind w:left="-113" w:leftChars="-56" w:right="-113" w:rightChars="-56"/>
              <w:jc w:val="center"/>
              <w:rPr>
                <w:rFonts w:hint="eastAsia" w:ascii="仿宋" w:hAnsi="仿宋" w:eastAsia="仿宋" w:cs="仿宋"/>
                <w:b/>
                <w:sz w:val="28"/>
                <w:szCs w:val="28"/>
              </w:rPr>
            </w:pPr>
            <w:r>
              <w:rPr>
                <w:rFonts w:hint="eastAsia" w:ascii="仿宋" w:hAnsi="仿宋" w:eastAsia="仿宋" w:cs="仿宋"/>
                <w:b/>
                <w:sz w:val="28"/>
                <w:szCs w:val="28"/>
              </w:rPr>
              <w:t>尚未</w:t>
            </w:r>
          </w:p>
          <w:p>
            <w:pPr>
              <w:widowControl/>
              <w:spacing w:line="320" w:lineRule="exact"/>
              <w:ind w:left="-113" w:leftChars="-56" w:right="-113" w:rightChars="-56"/>
              <w:jc w:val="center"/>
              <w:rPr>
                <w:rFonts w:hint="eastAsia" w:ascii="仿宋" w:hAnsi="仿宋" w:eastAsia="仿宋" w:cs="仿宋"/>
                <w:b/>
                <w:sz w:val="28"/>
                <w:szCs w:val="28"/>
              </w:rPr>
            </w:pPr>
            <w:r>
              <w:rPr>
                <w:rFonts w:hint="eastAsia" w:ascii="仿宋" w:hAnsi="仿宋" w:eastAsia="仿宋" w:cs="仿宋"/>
                <w:b/>
                <w:sz w:val="28"/>
                <w:szCs w:val="28"/>
              </w:rPr>
              <w:t>审结</w:t>
            </w:r>
          </w:p>
        </w:tc>
        <w:tc>
          <w:tcPr>
            <w:tcW w:w="479" w:type="dxa"/>
            <w:vMerge w:val="restart"/>
            <w:shd w:val="clear" w:color="auto" w:fill="auto"/>
            <w:tcMar>
              <w:left w:w="108" w:type="dxa"/>
              <w:right w:w="108" w:type="dxa"/>
            </w:tcMar>
            <w:vAlign w:val="center"/>
          </w:tcPr>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总</w:t>
            </w:r>
          </w:p>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计</w:t>
            </w:r>
          </w:p>
        </w:tc>
        <w:tc>
          <w:tcPr>
            <w:tcW w:w="2943" w:type="dxa"/>
            <w:gridSpan w:val="5"/>
            <w:shd w:val="clear" w:color="auto" w:fill="auto"/>
            <w:tcMar>
              <w:left w:w="108" w:type="dxa"/>
              <w:right w:w="108" w:type="dxa"/>
            </w:tcMar>
            <w:vAlign w:val="center"/>
          </w:tcPr>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未经复议直接起诉</w:t>
            </w:r>
          </w:p>
        </w:tc>
        <w:tc>
          <w:tcPr>
            <w:tcW w:w="2979" w:type="dxa"/>
            <w:gridSpan w:val="5"/>
            <w:shd w:val="clear" w:color="auto" w:fill="auto"/>
            <w:tcMar>
              <w:left w:w="108" w:type="dxa"/>
              <w:right w:w="108" w:type="dxa"/>
            </w:tcMar>
            <w:vAlign w:val="center"/>
          </w:tcPr>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604" w:type="dxa"/>
            <w:vMerge w:val="continue"/>
            <w:shd w:val="clear" w:color="auto" w:fill="auto"/>
            <w:tcMar>
              <w:left w:w="108" w:type="dxa"/>
              <w:right w:w="108" w:type="dxa"/>
            </w:tcMar>
            <w:vAlign w:val="center"/>
          </w:tcPr>
          <w:p>
            <w:pPr>
              <w:spacing w:line="320" w:lineRule="exact"/>
              <w:rPr>
                <w:rFonts w:hint="eastAsia" w:ascii="仿宋" w:hAnsi="仿宋" w:eastAsia="仿宋" w:cs="仿宋"/>
                <w:b/>
                <w:sz w:val="28"/>
                <w:szCs w:val="28"/>
              </w:rPr>
            </w:pPr>
          </w:p>
        </w:tc>
        <w:tc>
          <w:tcPr>
            <w:tcW w:w="604" w:type="dxa"/>
            <w:vMerge w:val="continue"/>
            <w:shd w:val="clear" w:color="auto" w:fill="auto"/>
            <w:tcMar>
              <w:left w:w="108" w:type="dxa"/>
              <w:right w:w="108" w:type="dxa"/>
            </w:tcMar>
            <w:vAlign w:val="center"/>
          </w:tcPr>
          <w:p>
            <w:pPr>
              <w:spacing w:line="320" w:lineRule="exact"/>
              <w:rPr>
                <w:rFonts w:hint="eastAsia" w:ascii="仿宋" w:hAnsi="仿宋" w:eastAsia="仿宋" w:cs="仿宋"/>
                <w:b/>
                <w:sz w:val="28"/>
                <w:szCs w:val="28"/>
              </w:rPr>
            </w:pPr>
          </w:p>
        </w:tc>
        <w:tc>
          <w:tcPr>
            <w:tcW w:w="604" w:type="dxa"/>
            <w:vMerge w:val="continue"/>
            <w:shd w:val="clear" w:color="auto" w:fill="auto"/>
            <w:tcMar>
              <w:left w:w="108" w:type="dxa"/>
              <w:right w:w="108" w:type="dxa"/>
            </w:tcMar>
            <w:vAlign w:val="center"/>
          </w:tcPr>
          <w:p>
            <w:pPr>
              <w:spacing w:line="320" w:lineRule="exact"/>
              <w:rPr>
                <w:rFonts w:hint="eastAsia" w:ascii="仿宋" w:hAnsi="仿宋" w:eastAsia="仿宋" w:cs="仿宋"/>
                <w:b/>
                <w:sz w:val="28"/>
                <w:szCs w:val="28"/>
              </w:rPr>
            </w:pPr>
          </w:p>
        </w:tc>
        <w:tc>
          <w:tcPr>
            <w:tcW w:w="604" w:type="dxa"/>
            <w:vMerge w:val="continue"/>
            <w:shd w:val="clear" w:color="auto" w:fill="auto"/>
            <w:tcMar>
              <w:left w:w="108" w:type="dxa"/>
              <w:right w:w="108" w:type="dxa"/>
            </w:tcMar>
            <w:vAlign w:val="center"/>
          </w:tcPr>
          <w:p>
            <w:pPr>
              <w:spacing w:line="320" w:lineRule="exact"/>
              <w:rPr>
                <w:rFonts w:hint="eastAsia" w:ascii="仿宋" w:hAnsi="仿宋" w:eastAsia="仿宋" w:cs="仿宋"/>
                <w:b/>
                <w:sz w:val="28"/>
                <w:szCs w:val="28"/>
              </w:rPr>
            </w:pPr>
          </w:p>
        </w:tc>
        <w:tc>
          <w:tcPr>
            <w:tcW w:w="479" w:type="dxa"/>
            <w:vMerge w:val="continue"/>
            <w:shd w:val="clear" w:color="auto" w:fill="auto"/>
            <w:tcMar>
              <w:left w:w="108" w:type="dxa"/>
              <w:right w:w="108" w:type="dxa"/>
            </w:tcMar>
            <w:vAlign w:val="center"/>
          </w:tcPr>
          <w:p>
            <w:pPr>
              <w:spacing w:line="320" w:lineRule="exact"/>
              <w:rPr>
                <w:rFonts w:hint="eastAsia" w:ascii="仿宋" w:hAnsi="仿宋" w:eastAsia="仿宋" w:cs="仿宋"/>
                <w:b/>
                <w:sz w:val="28"/>
                <w:szCs w:val="28"/>
              </w:rPr>
            </w:pPr>
          </w:p>
        </w:tc>
        <w:tc>
          <w:tcPr>
            <w:tcW w:w="550" w:type="dxa"/>
            <w:shd w:val="clear" w:color="auto" w:fill="auto"/>
            <w:tcMar>
              <w:left w:w="108" w:type="dxa"/>
              <w:right w:w="108" w:type="dxa"/>
            </w:tcMar>
            <w:vAlign w:val="center"/>
          </w:tcPr>
          <w:p>
            <w:pPr>
              <w:widowControl/>
              <w:spacing w:line="320" w:lineRule="exact"/>
              <w:ind w:left="-101" w:leftChars="-50" w:right="-121" w:rightChars="-60"/>
              <w:jc w:val="center"/>
              <w:rPr>
                <w:rFonts w:hint="eastAsia" w:ascii="仿宋" w:hAnsi="仿宋" w:eastAsia="仿宋" w:cs="仿宋"/>
                <w:b/>
                <w:sz w:val="28"/>
                <w:szCs w:val="28"/>
              </w:rPr>
            </w:pPr>
            <w:r>
              <w:rPr>
                <w:rFonts w:hint="eastAsia" w:ascii="仿宋" w:hAnsi="仿宋" w:eastAsia="仿宋" w:cs="仿宋"/>
                <w:b/>
                <w:sz w:val="28"/>
                <w:szCs w:val="28"/>
              </w:rPr>
              <w:t>结果维持</w:t>
            </w:r>
          </w:p>
        </w:tc>
        <w:tc>
          <w:tcPr>
            <w:tcW w:w="605" w:type="dxa"/>
            <w:shd w:val="clear" w:color="auto" w:fill="auto"/>
            <w:tcMar>
              <w:left w:w="108" w:type="dxa"/>
              <w:right w:w="108" w:type="dxa"/>
            </w:tcMar>
            <w:vAlign w:val="center"/>
          </w:tcPr>
          <w:p>
            <w:pPr>
              <w:widowControl/>
              <w:spacing w:line="320" w:lineRule="exact"/>
              <w:ind w:left="-82" w:leftChars="-41" w:right="-84" w:rightChars="-42"/>
              <w:jc w:val="center"/>
              <w:rPr>
                <w:rFonts w:hint="eastAsia" w:ascii="仿宋" w:hAnsi="仿宋" w:eastAsia="仿宋" w:cs="仿宋"/>
                <w:b/>
                <w:sz w:val="28"/>
                <w:szCs w:val="28"/>
              </w:rPr>
            </w:pPr>
            <w:r>
              <w:rPr>
                <w:rFonts w:hint="eastAsia" w:ascii="仿宋" w:hAnsi="仿宋" w:eastAsia="仿宋" w:cs="仿宋"/>
                <w:b/>
                <w:sz w:val="28"/>
                <w:szCs w:val="28"/>
              </w:rPr>
              <w:t>结果纠正</w:t>
            </w:r>
          </w:p>
        </w:tc>
        <w:tc>
          <w:tcPr>
            <w:tcW w:w="605" w:type="dxa"/>
            <w:shd w:val="clear" w:color="auto" w:fill="auto"/>
            <w:tcMar>
              <w:left w:w="108" w:type="dxa"/>
              <w:right w:w="108" w:type="dxa"/>
            </w:tcMar>
            <w:vAlign w:val="center"/>
          </w:tcPr>
          <w:p>
            <w:pPr>
              <w:widowControl/>
              <w:spacing w:line="320" w:lineRule="exact"/>
              <w:ind w:left="-121" w:leftChars="-60" w:right="-131" w:rightChars="-65"/>
              <w:jc w:val="center"/>
              <w:rPr>
                <w:rFonts w:hint="eastAsia" w:ascii="仿宋" w:hAnsi="仿宋" w:eastAsia="仿宋" w:cs="仿宋"/>
                <w:b/>
                <w:sz w:val="28"/>
                <w:szCs w:val="28"/>
              </w:rPr>
            </w:pPr>
            <w:r>
              <w:rPr>
                <w:rFonts w:hint="eastAsia" w:ascii="仿宋" w:hAnsi="仿宋" w:eastAsia="仿宋" w:cs="仿宋"/>
                <w:b/>
                <w:sz w:val="28"/>
                <w:szCs w:val="28"/>
              </w:rPr>
              <w:t>其他</w:t>
            </w:r>
          </w:p>
          <w:p>
            <w:pPr>
              <w:widowControl/>
              <w:spacing w:line="320" w:lineRule="exact"/>
              <w:ind w:left="-121" w:leftChars="-60" w:right="-131" w:rightChars="-65"/>
              <w:jc w:val="center"/>
              <w:rPr>
                <w:rFonts w:hint="eastAsia" w:ascii="仿宋" w:hAnsi="仿宋" w:eastAsia="仿宋" w:cs="仿宋"/>
                <w:b/>
                <w:sz w:val="28"/>
                <w:szCs w:val="28"/>
              </w:rPr>
            </w:pPr>
            <w:r>
              <w:rPr>
                <w:rFonts w:hint="eastAsia" w:ascii="仿宋" w:hAnsi="仿宋" w:eastAsia="仿宋" w:cs="仿宋"/>
                <w:b/>
                <w:sz w:val="28"/>
                <w:szCs w:val="28"/>
              </w:rPr>
              <w:t>结果</w:t>
            </w:r>
          </w:p>
        </w:tc>
        <w:tc>
          <w:tcPr>
            <w:tcW w:w="605" w:type="dxa"/>
            <w:shd w:val="clear" w:color="auto" w:fill="auto"/>
            <w:tcMar>
              <w:left w:w="108" w:type="dxa"/>
              <w:right w:w="108" w:type="dxa"/>
            </w:tcMar>
            <w:vAlign w:val="center"/>
          </w:tcPr>
          <w:p>
            <w:pPr>
              <w:widowControl/>
              <w:spacing w:line="320" w:lineRule="exact"/>
              <w:ind w:left="-157" w:leftChars="-78" w:right="-147" w:rightChars="-73"/>
              <w:jc w:val="center"/>
              <w:rPr>
                <w:rFonts w:hint="eastAsia" w:ascii="仿宋" w:hAnsi="仿宋" w:eastAsia="仿宋" w:cs="仿宋"/>
                <w:b/>
                <w:sz w:val="28"/>
                <w:szCs w:val="28"/>
              </w:rPr>
            </w:pPr>
            <w:r>
              <w:rPr>
                <w:rFonts w:hint="eastAsia" w:ascii="仿宋" w:hAnsi="仿宋" w:eastAsia="仿宋" w:cs="仿宋"/>
                <w:b/>
                <w:sz w:val="28"/>
                <w:szCs w:val="28"/>
              </w:rPr>
              <w:t>尚未</w:t>
            </w:r>
          </w:p>
          <w:p>
            <w:pPr>
              <w:widowControl/>
              <w:spacing w:line="320" w:lineRule="exact"/>
              <w:ind w:left="-157" w:leftChars="-78" w:right="-147" w:rightChars="-73"/>
              <w:jc w:val="center"/>
              <w:rPr>
                <w:rFonts w:hint="eastAsia" w:ascii="仿宋" w:hAnsi="仿宋" w:eastAsia="仿宋" w:cs="仿宋"/>
                <w:b/>
                <w:sz w:val="28"/>
                <w:szCs w:val="28"/>
              </w:rPr>
            </w:pPr>
            <w:r>
              <w:rPr>
                <w:rFonts w:hint="eastAsia" w:ascii="仿宋" w:hAnsi="仿宋" w:eastAsia="仿宋" w:cs="仿宋"/>
                <w:b/>
                <w:sz w:val="28"/>
                <w:szCs w:val="28"/>
              </w:rPr>
              <w:t>审结</w:t>
            </w:r>
          </w:p>
        </w:tc>
        <w:tc>
          <w:tcPr>
            <w:tcW w:w="578" w:type="dxa"/>
            <w:shd w:val="clear" w:color="auto" w:fill="auto"/>
            <w:tcMar>
              <w:left w:w="108" w:type="dxa"/>
              <w:right w:w="108" w:type="dxa"/>
            </w:tcMar>
            <w:vAlign w:val="center"/>
          </w:tcPr>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总计</w:t>
            </w:r>
          </w:p>
        </w:tc>
        <w:tc>
          <w:tcPr>
            <w:tcW w:w="605" w:type="dxa"/>
            <w:shd w:val="clear" w:color="auto" w:fill="auto"/>
            <w:tcMar>
              <w:left w:w="108" w:type="dxa"/>
              <w:right w:w="108" w:type="dxa"/>
            </w:tcMar>
            <w:vAlign w:val="center"/>
          </w:tcPr>
          <w:p>
            <w:pPr>
              <w:widowControl/>
              <w:spacing w:line="320" w:lineRule="exact"/>
              <w:ind w:left="-94" w:leftChars="-47" w:right="-74" w:rightChars="-37"/>
              <w:jc w:val="center"/>
              <w:rPr>
                <w:rFonts w:hint="eastAsia" w:ascii="仿宋" w:hAnsi="仿宋" w:eastAsia="仿宋" w:cs="仿宋"/>
                <w:b/>
                <w:sz w:val="28"/>
                <w:szCs w:val="28"/>
              </w:rPr>
            </w:pPr>
            <w:r>
              <w:rPr>
                <w:rFonts w:hint="eastAsia" w:ascii="仿宋" w:hAnsi="仿宋" w:eastAsia="仿宋" w:cs="仿宋"/>
                <w:b/>
                <w:sz w:val="28"/>
                <w:szCs w:val="28"/>
              </w:rPr>
              <w:t>结果维持</w:t>
            </w:r>
          </w:p>
        </w:tc>
        <w:tc>
          <w:tcPr>
            <w:tcW w:w="605" w:type="dxa"/>
            <w:shd w:val="clear" w:color="auto" w:fill="auto"/>
            <w:tcMar>
              <w:left w:w="108" w:type="dxa"/>
              <w:right w:w="108" w:type="dxa"/>
            </w:tcMar>
            <w:vAlign w:val="center"/>
          </w:tcPr>
          <w:p>
            <w:pPr>
              <w:widowControl/>
              <w:spacing w:line="320" w:lineRule="exact"/>
              <w:ind w:left="-131" w:leftChars="-65" w:right="-119" w:rightChars="-59"/>
              <w:jc w:val="center"/>
              <w:rPr>
                <w:rFonts w:hint="eastAsia" w:ascii="仿宋" w:hAnsi="仿宋" w:eastAsia="仿宋" w:cs="仿宋"/>
                <w:b/>
                <w:sz w:val="28"/>
                <w:szCs w:val="28"/>
              </w:rPr>
            </w:pPr>
            <w:r>
              <w:rPr>
                <w:rFonts w:hint="eastAsia" w:ascii="仿宋" w:hAnsi="仿宋" w:eastAsia="仿宋" w:cs="仿宋"/>
                <w:b/>
                <w:sz w:val="28"/>
                <w:szCs w:val="28"/>
              </w:rPr>
              <w:t>结果</w:t>
            </w:r>
          </w:p>
          <w:p>
            <w:pPr>
              <w:widowControl/>
              <w:spacing w:line="320" w:lineRule="exact"/>
              <w:ind w:left="-131" w:leftChars="-65" w:right="-119" w:rightChars="-59"/>
              <w:jc w:val="center"/>
              <w:rPr>
                <w:rFonts w:hint="eastAsia" w:ascii="仿宋" w:hAnsi="仿宋" w:eastAsia="仿宋" w:cs="仿宋"/>
                <w:b/>
                <w:sz w:val="28"/>
                <w:szCs w:val="28"/>
              </w:rPr>
            </w:pPr>
            <w:r>
              <w:rPr>
                <w:rFonts w:hint="eastAsia" w:ascii="仿宋" w:hAnsi="仿宋" w:eastAsia="仿宋" w:cs="仿宋"/>
                <w:b/>
                <w:sz w:val="28"/>
                <w:szCs w:val="28"/>
              </w:rPr>
              <w:t>纠正</w:t>
            </w:r>
          </w:p>
        </w:tc>
        <w:tc>
          <w:tcPr>
            <w:tcW w:w="605" w:type="dxa"/>
            <w:shd w:val="clear" w:color="auto" w:fill="auto"/>
            <w:tcMar>
              <w:left w:w="108" w:type="dxa"/>
              <w:right w:w="108" w:type="dxa"/>
            </w:tcMar>
            <w:vAlign w:val="center"/>
          </w:tcPr>
          <w:p>
            <w:pPr>
              <w:widowControl/>
              <w:spacing w:line="320" w:lineRule="exact"/>
              <w:ind w:left="-166" w:leftChars="-83" w:right="-129" w:rightChars="-64" w:hanging="1"/>
              <w:jc w:val="center"/>
              <w:rPr>
                <w:rFonts w:hint="eastAsia" w:ascii="仿宋" w:hAnsi="仿宋" w:eastAsia="仿宋" w:cs="仿宋"/>
                <w:b/>
                <w:sz w:val="28"/>
                <w:szCs w:val="28"/>
              </w:rPr>
            </w:pPr>
            <w:r>
              <w:rPr>
                <w:rFonts w:hint="eastAsia" w:ascii="仿宋" w:hAnsi="仿宋" w:eastAsia="仿宋" w:cs="仿宋"/>
                <w:b/>
                <w:sz w:val="28"/>
                <w:szCs w:val="28"/>
              </w:rPr>
              <w:t>其他</w:t>
            </w:r>
          </w:p>
          <w:p>
            <w:pPr>
              <w:widowControl/>
              <w:spacing w:line="320" w:lineRule="exact"/>
              <w:ind w:left="-166" w:leftChars="-83" w:right="-129" w:rightChars="-64" w:hanging="1"/>
              <w:jc w:val="center"/>
              <w:rPr>
                <w:rFonts w:hint="eastAsia" w:ascii="仿宋" w:hAnsi="仿宋" w:eastAsia="仿宋" w:cs="仿宋"/>
                <w:b/>
                <w:sz w:val="28"/>
                <w:szCs w:val="28"/>
              </w:rPr>
            </w:pPr>
            <w:r>
              <w:rPr>
                <w:rFonts w:hint="eastAsia" w:ascii="仿宋" w:hAnsi="仿宋" w:eastAsia="仿宋" w:cs="仿宋"/>
                <w:b/>
                <w:sz w:val="28"/>
                <w:szCs w:val="28"/>
              </w:rPr>
              <w:t>结果</w:t>
            </w:r>
          </w:p>
        </w:tc>
        <w:tc>
          <w:tcPr>
            <w:tcW w:w="606" w:type="dxa"/>
            <w:shd w:val="clear" w:color="auto" w:fill="auto"/>
            <w:tcMar>
              <w:left w:w="108" w:type="dxa"/>
              <w:right w:w="108" w:type="dxa"/>
            </w:tcMar>
            <w:vAlign w:val="center"/>
          </w:tcPr>
          <w:p>
            <w:pPr>
              <w:widowControl/>
              <w:spacing w:line="320" w:lineRule="exact"/>
              <w:ind w:left="-64" w:leftChars="-33" w:right="-101" w:rightChars="-50" w:hanging="2" w:hangingChars="1"/>
              <w:jc w:val="center"/>
              <w:rPr>
                <w:rFonts w:hint="eastAsia" w:ascii="仿宋" w:hAnsi="仿宋" w:eastAsia="仿宋" w:cs="仿宋"/>
                <w:b/>
                <w:sz w:val="28"/>
                <w:szCs w:val="28"/>
              </w:rPr>
            </w:pPr>
            <w:r>
              <w:rPr>
                <w:rFonts w:hint="eastAsia" w:ascii="仿宋" w:hAnsi="仿宋" w:eastAsia="仿宋" w:cs="仿宋"/>
                <w:b/>
                <w:sz w:val="28"/>
                <w:szCs w:val="28"/>
              </w:rPr>
              <w:t>尚未审结</w:t>
            </w:r>
          </w:p>
        </w:tc>
        <w:tc>
          <w:tcPr>
            <w:tcW w:w="558" w:type="dxa"/>
            <w:shd w:val="clear" w:color="auto" w:fill="auto"/>
            <w:tcMar>
              <w:left w:w="108" w:type="dxa"/>
              <w:right w:w="108" w:type="dxa"/>
            </w:tcMar>
            <w:vAlign w:val="center"/>
          </w:tcPr>
          <w:p>
            <w:pPr>
              <w:widowControl/>
              <w:spacing w:line="320" w:lineRule="exact"/>
              <w:jc w:val="center"/>
              <w:rPr>
                <w:rFonts w:hint="eastAsia" w:ascii="仿宋" w:hAnsi="仿宋" w:eastAsia="仿宋" w:cs="仿宋"/>
                <w:b/>
                <w:sz w:val="28"/>
                <w:szCs w:val="28"/>
              </w:rPr>
            </w:pPr>
            <w:r>
              <w:rPr>
                <w:rFonts w:hint="eastAsia" w:ascii="仿宋" w:hAnsi="仿宋" w:eastAsia="仿宋" w:cs="仿宋"/>
                <w:b/>
                <w:sz w:val="28"/>
                <w:szCs w:val="2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4"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4"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4"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4"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479"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550"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578"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5"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606"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c>
          <w:tcPr>
            <w:tcW w:w="558" w:type="dxa"/>
            <w:shd w:val="clear" w:color="auto" w:fill="auto"/>
            <w:tcMar>
              <w:left w:w="108" w:type="dxa"/>
              <w:right w:w="108" w:type="dxa"/>
            </w:tcMar>
            <w:vAlign w:val="center"/>
          </w:tcPr>
          <w:p>
            <w:pPr>
              <w:widowControl/>
              <w:spacing w:after="180" w:line="320" w:lineRule="exact"/>
              <w:jc w:val="center"/>
              <w:rPr>
                <w:rFonts w:hint="eastAsia" w:ascii="仿宋" w:hAnsi="仿宋" w:eastAsia="仿宋" w:cs="仿宋"/>
                <w:b/>
                <w:sz w:val="32"/>
                <w:szCs w:val="32"/>
              </w:rPr>
            </w:pPr>
            <w:r>
              <w:rPr>
                <w:rFonts w:hint="eastAsia" w:ascii="仿宋" w:hAnsi="仿宋" w:eastAsia="仿宋" w:cs="仿宋"/>
                <w:b/>
                <w:sz w:val="28"/>
                <w:szCs w:val="28"/>
                <w:lang w:val="en-US" w:eastAsia="zh-CN"/>
              </w:rPr>
              <w:t>0</w:t>
            </w:r>
          </w:p>
        </w:tc>
      </w:tr>
    </w:tbl>
    <w:p>
      <w:pPr>
        <w:spacing w:line="590" w:lineRule="exact"/>
        <w:ind w:right="-101" w:rightChars="-50" w:firstLine="624" w:firstLineChars="200"/>
        <w:rPr>
          <w:rFonts w:hint="default" w:ascii="Times New Roman" w:hAnsi="Times New Roman" w:eastAsia="文星黑体" w:cs="Times New Roman"/>
          <w:b/>
          <w:sz w:val="32"/>
          <w:szCs w:val="32"/>
        </w:rPr>
      </w:pPr>
      <w:r>
        <w:rPr>
          <w:rFonts w:hint="default" w:ascii="Times New Roman" w:hAnsi="Times New Roman" w:eastAsia="文星黑体" w:cs="Times New Roman"/>
          <w:b/>
          <w:sz w:val="32"/>
          <w:szCs w:val="32"/>
        </w:rPr>
        <w:t>五、存在的主要问题及改进情况</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一是政府信息公开的内容有待完善；二是信息公开的载体和形式还需要进一步丰富。</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2022年，我局将采取以下措施加以改进：</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一是持续完善制度机制，定期梳理局内各单位政府信息公开工作开展情况，强化工作协同和信息交流，不断丰富信息公开的内容，强化信息内容更新，着力提高主动公开的及时性和依申请公开答复的规范性。二是紧紧围绕社会公众关心关注、涉及民生的市场监管领域，积极通过局网站、微信公众号等渠道，丰富信息公开形式，及时回应关切，确保公开信息的及时性、准确性和有效性。</w:t>
      </w:r>
    </w:p>
    <w:p>
      <w:pPr>
        <w:spacing w:line="590" w:lineRule="exact"/>
        <w:ind w:right="-101" w:rightChars="-50" w:firstLine="624" w:firstLineChars="200"/>
        <w:rPr>
          <w:rFonts w:hint="eastAsia" w:ascii="黑体" w:hAnsi="黑体" w:eastAsia="黑体" w:cs="黑体"/>
          <w:b/>
          <w:sz w:val="32"/>
          <w:szCs w:val="32"/>
        </w:rPr>
      </w:pPr>
      <w:r>
        <w:rPr>
          <w:rFonts w:hint="eastAsia" w:ascii="黑体" w:hAnsi="黑体" w:eastAsia="黑体" w:cs="黑体"/>
          <w:b/>
          <w:sz w:val="32"/>
          <w:szCs w:val="32"/>
        </w:rPr>
        <w:t>六、其他需要报告的事项</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（一）收取信息处理费情况。2022年度未收取政府信息公开处理费用。</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二）落实上级政务公开工作要点情况。2022年3月，根据政务公开工作要点要求，制定出台《2022年度政务公开培训计划》，明确公开内容要点和工作要求；根据工作需要和人员调整情况，2022年6月，出台《微山县市场监督管理局关于调整政务公开工作领导小组的通知》，调整局政务公开工作领导小组及负责机构工作人员组成，进一步压实工作责任，完善政务公开工作机制，确保政务公开的真实、规范、有序运行。</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（三）人大代表建议和政协提案办理结果情况。2022年，县人大代表、政协委员对我局共提出建议1件，提案6件，办理结果均按时公开。</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（四）年度政务公开工作创新情况：无。</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（五）政府信息公开工作年度报告数据统计需要说明的事项：无。</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（六）需要报告的其他事项：无。</w:t>
      </w: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r>
        <w:rPr>
          <w:rFonts w:hint="eastAsia" w:ascii="仿宋" w:hAnsi="仿宋" w:eastAsia="仿宋" w:cs="仿宋"/>
          <w:b/>
          <w:color w:val="000000"/>
          <w:kern w:val="0"/>
          <w:sz w:val="31"/>
          <w:szCs w:val="31"/>
          <w:lang w:val="en-US" w:eastAsia="zh-CN" w:bidi="ar"/>
        </w:rPr>
        <w:t>（七）其他有关文件专门要求通过政府信息公开工作年度报告予以报告的事项：无。</w:t>
      </w:r>
    </w:p>
    <w:p>
      <w:pPr>
        <w:keepNext w:val="0"/>
        <w:keepLines w:val="0"/>
        <w:widowControl/>
        <w:suppressLineNumbers w:val="0"/>
        <w:ind w:firstLine="604" w:firstLineChars="200"/>
        <w:jc w:val="left"/>
        <w:rPr>
          <w:rFonts w:hint="eastAsia" w:ascii="方正仿宋_GB2312" w:hAnsi="方正仿宋_GB2312" w:eastAsia="方正仿宋_GB2312" w:cs="方正仿宋_GB2312"/>
          <w:b/>
          <w:color w:val="000000"/>
          <w:kern w:val="0"/>
          <w:sz w:val="31"/>
          <w:szCs w:val="31"/>
          <w:lang w:val="en-US" w:eastAsia="zh-CN" w:bidi="ar"/>
        </w:rPr>
      </w:pPr>
    </w:p>
    <w:p>
      <w:pPr>
        <w:keepNext w:val="0"/>
        <w:keepLines w:val="0"/>
        <w:widowControl/>
        <w:suppressLineNumbers w:val="0"/>
        <w:ind w:firstLine="604" w:firstLineChars="200"/>
        <w:jc w:val="left"/>
        <w:rPr>
          <w:rFonts w:hint="eastAsia" w:ascii="仿宋" w:hAnsi="仿宋" w:eastAsia="仿宋" w:cs="仿宋"/>
          <w:b/>
          <w:color w:val="000000"/>
          <w:kern w:val="0"/>
          <w:sz w:val="31"/>
          <w:szCs w:val="31"/>
          <w:lang w:val="en-US" w:eastAsia="zh-CN" w:bidi="ar"/>
        </w:rPr>
      </w:pPr>
    </w:p>
    <w:sectPr>
      <w:footerReference r:id="rId5" w:type="first"/>
      <w:footerReference r:id="rId3" w:type="default"/>
      <w:footerReference r:id="rId4" w:type="even"/>
      <w:pgSz w:w="11906" w:h="16838"/>
      <w:pgMar w:top="2098" w:right="1474" w:bottom="1984" w:left="1588" w:header="851" w:footer="1559" w:gutter="0"/>
      <w:pgNumType w:fmt="numberInDash"/>
      <w:cols w:space="425" w:num="1"/>
      <w:titlePg/>
      <w:docGrid w:type="linesAndChars" w:linePitch="628"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B779C5-4E53-448E-BCF7-14C1A409E1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04AF1D02-A3B4-4B75-BD17-6D32F8315D7A}"/>
  </w:font>
  <w:font w:name="文星简大标宋">
    <w:altName w:val="微软雅黑"/>
    <w:panose1 w:val="02010609000101010101"/>
    <w:charset w:val="86"/>
    <w:family w:val="modern"/>
    <w:pitch w:val="default"/>
    <w:sig w:usb0="00000000" w:usb1="00000000" w:usb2="00000010" w:usb3="00000000" w:csb0="00040000" w:csb1="00000000"/>
    <w:embedRegular r:id="rId3" w:fontKey="{B9B67EDA-C43D-41B1-BD47-956270BD46BE}"/>
  </w:font>
  <w:font w:name="方正小标宋简体">
    <w:panose1 w:val="02000000000000000000"/>
    <w:charset w:val="86"/>
    <w:family w:val="script"/>
    <w:pitch w:val="default"/>
    <w:sig w:usb0="00000001" w:usb1="080E0000" w:usb2="00000000" w:usb3="00000000" w:csb0="00040000" w:csb1="00000000"/>
    <w:embedRegular r:id="rId4" w:fontKey="{09D77232-97F5-44BE-892F-82B29CC75D15}"/>
  </w:font>
  <w:font w:name="仿宋">
    <w:panose1 w:val="02010609060101010101"/>
    <w:charset w:val="86"/>
    <w:family w:val="auto"/>
    <w:pitch w:val="default"/>
    <w:sig w:usb0="800002BF" w:usb1="38CF7CFA" w:usb2="00000016" w:usb3="00000000" w:csb0="00040001" w:csb1="00000000"/>
    <w:embedRegular r:id="rId5" w:fontKey="{AADA8566-EA32-4C0F-8B2F-CD1C477D4A8C}"/>
  </w:font>
  <w:font w:name="文星仿宋">
    <w:altName w:val="仿宋"/>
    <w:panose1 w:val="02010609000101010101"/>
    <w:charset w:val="86"/>
    <w:family w:val="auto"/>
    <w:pitch w:val="default"/>
    <w:sig w:usb0="00000000" w:usb1="00000000" w:usb2="00000000" w:usb3="00000000" w:csb0="00040000" w:csb1="00000000"/>
    <w:embedRegular r:id="rId6" w:fontKey="{8BF37D91-446D-481E-9B08-EACEBA9C18C4}"/>
  </w:font>
  <w:font w:name="文星黑体">
    <w:altName w:val="黑体"/>
    <w:panose1 w:val="02010609000101010101"/>
    <w:charset w:val="86"/>
    <w:family w:val="auto"/>
    <w:pitch w:val="default"/>
    <w:sig w:usb0="00000000" w:usb1="00000000" w:usb2="00000000" w:usb3="00000000" w:csb0="00040000" w:csb1="00000000"/>
    <w:embedRegular r:id="rId7" w:fontKey="{0D599173-421F-458C-AACA-8A91EEC93B39}"/>
  </w:font>
  <w:font w:name="方正仿宋_GB2312">
    <w:panose1 w:val="02000000000000000000"/>
    <w:charset w:val="86"/>
    <w:family w:val="auto"/>
    <w:pitch w:val="default"/>
    <w:sig w:usb0="A00002BF" w:usb1="184F6CFA" w:usb2="00000012" w:usb3="00000000" w:csb0="00040001" w:csb1="00000000"/>
    <w:embedRegular r:id="rId8" w:fontKey="{238E026C-FA6C-4AD8-9750-31ADA6FBC1F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12052647"/>
                          </w:sdtPr>
                          <w:sdtContent>
                            <w:p>
                              <w:pPr>
                                <w:pStyle w:val="3"/>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612052647"/>
                    </w:sdtPr>
                    <w:sdtContent>
                      <w:p>
                        <w:pPr>
                          <w:pStyle w:val="3"/>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v:textbox>
            </v:shape>
          </w:pict>
        </mc:Fallback>
      </mc:AlternateContent>
    </w:r>
    <w:r>
      <w:rPr>
        <w:rFonts w:hint="eastAsia"/>
        <w:lang w:val="en-US"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842155"/>
    </w:sdtPr>
    <w:sdtEndPr>
      <w:rPr>
        <w:rFonts w:asciiTheme="minorEastAsia" w:hAnsiTheme="minorEastAsia"/>
        <w:b/>
        <w:sz w:val="28"/>
        <w:szCs w:val="28"/>
      </w:rPr>
    </w:sdtEndPr>
    <w:sdtContent>
      <w:p>
        <w:pPr>
          <w:pStyle w:val="3"/>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20 -</w:t>
        </w:r>
        <w:r>
          <w:rPr>
            <w:rFonts w:asciiTheme="minorEastAsia" w:hAnsiTheme="minorEastAsia"/>
            <w:b/>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posOffset>5260975</wp:posOffset>
              </wp:positionH>
              <wp:positionV relativeFrom="paragraph">
                <wp:posOffset>-10795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14.25pt;margin-top:-0.85pt;height:144pt;width:144pt;mso-position-horizontal-relative:margin;mso-wrap-style:none;z-index:251660288;mso-width-relative:page;mso-height-relative:page;" filled="f" stroked="f" coordsize="21600,21600" o:gfxdata="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47W&#10;VYeyu4C+syxs9c7ymCYK6e3qGCBmq3EUqFOl1w2d11apn5LY2n/u26inP8Py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ZDj4DYAAAACwEAAA8AAAAAAAAAAQAgAAAAIgAAAGRycy9kb3ducmV2Lnht&#10;bFBLAQIUABQAAAAIAIdO4kB/jq0RMgIAAGEEAAAOAAAAAAAAAAEAIAAAACcBAABkcnMvZTJvRG9j&#10;LnhtbFBLBQYAAAAABgAGAFkBAADLBQAAAAA=&#10;">
              <v:fill on="f" focussize="0,0"/>
              <v:stroke on="f" weight="0.5pt"/>
              <v:imagedata o:title=""/>
              <o:lock v:ext="edit" aspectratio="f"/>
              <v:textbox inset="0mm,0mm,0mm,0mm" style="mso-fit-shape-to-text:t;">
                <w:txbxContent>
                  <w:p>
                    <w:pPr>
                      <w:pStyle w:val="3"/>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1E49C"/>
    <w:multiLevelType w:val="singleLevel"/>
    <w:tmpl w:val="8201E49C"/>
    <w:lvl w:ilvl="0" w:tentative="0">
      <w:start w:val="3"/>
      <w:numFmt w:val="chineseCounting"/>
      <w:suff w:val="nothing"/>
      <w:lvlText w:val="（%1）"/>
      <w:lvlJc w:val="left"/>
      <w:rPr>
        <w:rFonts w:hint="eastAsia"/>
      </w:rPr>
    </w:lvl>
  </w:abstractNum>
  <w:abstractNum w:abstractNumId="1">
    <w:nsid w:val="93E62085"/>
    <w:multiLevelType w:val="singleLevel"/>
    <w:tmpl w:val="93E6208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NTNlZDVlNWI2NTNjZWRhY2I5ODM2MThlZjBkY2MifQ=="/>
  </w:docVars>
  <w:rsids>
    <w:rsidRoot w:val="00000000"/>
    <w:rsid w:val="02CC24C1"/>
    <w:rsid w:val="05184F9C"/>
    <w:rsid w:val="05A33402"/>
    <w:rsid w:val="068A0974"/>
    <w:rsid w:val="0A8E14AD"/>
    <w:rsid w:val="0AEB1C4E"/>
    <w:rsid w:val="0AF8673B"/>
    <w:rsid w:val="185862D1"/>
    <w:rsid w:val="18876269"/>
    <w:rsid w:val="24EE4054"/>
    <w:rsid w:val="333D4A96"/>
    <w:rsid w:val="33D068BE"/>
    <w:rsid w:val="34854A8F"/>
    <w:rsid w:val="3EAB0813"/>
    <w:rsid w:val="3EBE0387"/>
    <w:rsid w:val="4020662E"/>
    <w:rsid w:val="47C36EED"/>
    <w:rsid w:val="4A4C39CA"/>
    <w:rsid w:val="50694CF6"/>
    <w:rsid w:val="51940DBF"/>
    <w:rsid w:val="53E45D42"/>
    <w:rsid w:val="54A67650"/>
    <w:rsid w:val="57E17364"/>
    <w:rsid w:val="589D4894"/>
    <w:rsid w:val="59034E27"/>
    <w:rsid w:val="5B2C3825"/>
    <w:rsid w:val="5E477751"/>
    <w:rsid w:val="6371476B"/>
    <w:rsid w:val="6AB56CEF"/>
    <w:rsid w:val="6B512376"/>
    <w:rsid w:val="6F2E3B8F"/>
    <w:rsid w:val="719F11D7"/>
    <w:rsid w:val="79BB446B"/>
    <w:rsid w:val="7D6651DC"/>
    <w:rsid w:val="BFFD6CAB"/>
    <w:rsid w:val="EB8690F9"/>
    <w:rsid w:val="F77F3C3D"/>
    <w:rsid w:val="FD696E21"/>
    <w:rsid w:val="FF6794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sz w:val="24"/>
      <w:szCs w:val="24"/>
    </w:rPr>
  </w:style>
  <w:style w:type="character" w:styleId="8">
    <w:name w:val="Strong"/>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2797</Words>
  <Characters>2912</Characters>
  <Lines>0</Lines>
  <Paragraphs>0</Paragraphs>
  <TotalTime>2</TotalTime>
  <ScaleCrop>false</ScaleCrop>
  <LinksUpToDate>false</LinksUpToDate>
  <CharactersWithSpaces>2925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wsxscjg</cp:lastModifiedBy>
  <cp:lastPrinted>2022-01-17T03:12:00Z</cp:lastPrinted>
  <dcterms:modified xsi:type="dcterms:W3CDTF">2023-02-09T02:26:47Z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BC1AEF3C7E1645CBB2A4BC8CCD2F4A38</vt:lpwstr>
  </property>
</Properties>
</file>