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240" w:right="105" w:firstLine="645"/>
      </w:pPr>
      <w:r>
        <w:rPr>
          <w:rFonts w:ascii="仿宋" w:hAnsi="仿宋" w:eastAsia="仿宋" w:cs="仿宋"/>
          <w:color w:val="333333"/>
          <w:spacing w:val="-15"/>
          <w:sz w:val="31"/>
          <w:szCs w:val="31"/>
          <w:bdr w:val="none" w:color="auto" w:sz="0" w:space="0"/>
        </w:rPr>
        <w:t>本报告由高楼乡人民政府按照《中华人民共和国政府信息公开条例》（以下简称《条例》）和《中华人民共和国政府信息公开工作年度报告格式》（国办公开办函〔</w:t>
      </w:r>
      <w:r>
        <w:rPr>
          <w:rFonts w:hint="eastAsia" w:ascii="仿宋" w:hAnsi="仿宋" w:eastAsia="仿宋" w:cs="仿宋"/>
          <w:color w:val="333333"/>
          <w:spacing w:val="-15"/>
          <w:sz w:val="31"/>
          <w:szCs w:val="31"/>
          <w:bdr w:val="none" w:color="auto" w:sz="0" w:space="0"/>
        </w:rPr>
        <w:t>2021〕30号）要求编制。 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240" w:right="105" w:firstLine="645"/>
      </w:pPr>
      <w:r>
        <w:rPr>
          <w:rFonts w:hint="eastAsia" w:ascii="仿宋" w:hAnsi="仿宋" w:eastAsia="仿宋" w:cs="仿宋"/>
          <w:color w:val="333333"/>
          <w:spacing w:val="-15"/>
          <w:sz w:val="31"/>
          <w:szCs w:val="31"/>
          <w:bdr w:val="none" w:color="auto" w:sz="0" w:space="0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240" w:right="105" w:firstLine="645"/>
      </w:pPr>
      <w:r>
        <w:rPr>
          <w:rFonts w:hint="eastAsia" w:ascii="仿宋" w:hAnsi="仿宋" w:eastAsia="仿宋" w:cs="仿宋"/>
          <w:color w:val="333333"/>
          <w:spacing w:val="-15"/>
          <w:sz w:val="31"/>
          <w:szCs w:val="31"/>
          <w:bdr w:val="none" w:color="auto" w:sz="0" w:space="0"/>
        </w:rPr>
        <w:t>本报告中所列数据的统计期限自 2023年 1 月 1 日起至2023年 12 月 31 日止。本报告电子版可在“中国·济宁”政府门户网站（具体网址）查阅或下载。如对本报告存在任何疑问，请联系高楼乡人民政府（地址：高楼乡兴湖路001号，电话 0537-8381002）。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43"/>
          <w:szCs w:val="43"/>
        </w:rPr>
      </w:pPr>
      <w:r>
        <w:rPr>
          <w:rStyle w:val="6"/>
          <w:rFonts w:ascii="黑体" w:hAnsi="宋体" w:eastAsia="黑体" w:cs="黑体"/>
          <w:b/>
          <w:spacing w:val="0"/>
          <w:sz w:val="31"/>
          <w:szCs w:val="31"/>
          <w:bdr w:val="none" w:color="auto" w:sz="0" w:space="0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105" w:firstLine="585"/>
      </w:pPr>
      <w:r>
        <w:rPr>
          <w:rFonts w:hint="eastAsia" w:ascii="仿宋" w:hAnsi="仿宋" w:eastAsia="仿宋" w:cs="仿宋"/>
          <w:color w:val="333333"/>
          <w:spacing w:val="-15"/>
          <w:sz w:val="31"/>
          <w:szCs w:val="31"/>
          <w:bdr w:val="none" w:color="auto" w:sz="0" w:space="0"/>
        </w:rPr>
        <w:t>今年以来，我乡在县委、县政府的正确领导下，全面贯彻落实《条例》及《办法》精神，坚持以公开为常态、不公开为例外，加强领导、明确责任，及时部署、健全制度，推进决策、执行、管理、服务、结果</w:t>
      </w:r>
      <w:r>
        <w:rPr>
          <w:rFonts w:hint="default" w:ascii="Times New Roman" w:hAnsi="Times New Roman" w:cs="Times New Roman"/>
          <w:color w:val="333333"/>
          <w:spacing w:val="0"/>
          <w:sz w:val="31"/>
          <w:szCs w:val="31"/>
          <w:bdr w:val="none" w:color="auto" w:sz="0" w:space="0"/>
        </w:rPr>
        <w:t>“</w:t>
      </w:r>
      <w:r>
        <w:rPr>
          <w:rFonts w:hint="eastAsia" w:ascii="仿宋" w:hAnsi="仿宋" w:eastAsia="仿宋" w:cs="仿宋"/>
          <w:color w:val="333333"/>
          <w:spacing w:val="0"/>
          <w:sz w:val="31"/>
          <w:szCs w:val="31"/>
          <w:bdr w:val="none" w:color="auto" w:sz="0" w:space="0"/>
        </w:rPr>
        <w:t>五公开</w:t>
      </w:r>
      <w:r>
        <w:rPr>
          <w:rFonts w:hint="default" w:ascii="Times New Roman" w:hAnsi="Times New Roman" w:cs="Times New Roman"/>
          <w:color w:val="333333"/>
          <w:spacing w:val="0"/>
          <w:sz w:val="31"/>
          <w:szCs w:val="31"/>
          <w:bdr w:val="none" w:color="auto" w:sz="0" w:space="0"/>
        </w:rPr>
        <w:t>”</w:t>
      </w:r>
      <w:r>
        <w:rPr>
          <w:rFonts w:hint="eastAsia" w:ascii="仿宋" w:hAnsi="仿宋" w:eastAsia="仿宋" w:cs="仿宋"/>
          <w:color w:val="333333"/>
          <w:spacing w:val="0"/>
          <w:sz w:val="31"/>
          <w:szCs w:val="31"/>
          <w:bdr w:val="none" w:color="auto" w:sz="0" w:space="0"/>
        </w:rPr>
        <w:t>，积极回应公众关切，有序</w:t>
      </w:r>
      <w:r>
        <w:rPr>
          <w:rFonts w:hint="eastAsia" w:ascii="仿宋" w:hAnsi="仿宋" w:eastAsia="仿宋" w:cs="仿宋"/>
          <w:color w:val="333333"/>
          <w:spacing w:val="-15"/>
          <w:sz w:val="31"/>
          <w:szCs w:val="31"/>
          <w:bdr w:val="none" w:color="auto" w:sz="0" w:space="0"/>
        </w:rPr>
        <w:t>推进政府信息公开工作，确保本年度政府信息公开各项任务落实到位，依法保障人民群众的知情权、参与权和监督权。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</w:pPr>
      <w:r>
        <w:rPr>
          <w:rStyle w:val="6"/>
          <w:rFonts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</w:rPr>
        <w:t>（一）主动公开情况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2023年，高</w:t>
      </w:r>
      <w:bookmarkStart w:id="0" w:name="_GoBack"/>
      <w:r>
        <w:rPr>
          <w:rFonts w:hint="eastAsia"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楼乡</w:t>
      </w:r>
      <w:r>
        <w:rPr>
          <w:rFonts w:hint="eastAsia" w:ascii="仿宋" w:hAnsi="仿宋" w:eastAsia="仿宋" w:cs="仿宋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累计发布各类信息</w:t>
      </w:r>
      <w:r>
        <w:rPr>
          <w:rFonts w:hint="default" w:ascii="Times New Roman" w:hAnsi="Times New Roman" w:eastAsia="仿宋" w:cs="Times New Roman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90</w:t>
      </w:r>
      <w:r>
        <w:rPr>
          <w:rFonts w:hint="eastAsia" w:ascii="仿宋" w:hAnsi="仿宋" w:eastAsia="仿宋" w:cs="仿宋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条</w:t>
      </w:r>
      <w:bookmarkEnd w:id="0"/>
      <w:r>
        <w:rPr>
          <w:rFonts w:hint="eastAsia" w:ascii="仿宋" w:hAnsi="仿宋" w:eastAsia="仿宋" w:cs="仿宋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，包括乡镇重要政策及解读、工作进展、会议公开、建议提案办理答复情况等。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405" w:right="0" w:firstLine="195"/>
      </w:pPr>
      <w:r>
        <w:rPr>
          <w:rStyle w:val="6"/>
          <w:rFonts w:hint="eastAsia"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</w:rPr>
        <w:t>（二）依申请公开情况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</w:rPr>
        <w:t>2023年我乡收到依申请公开件1件，均在规定时间内规范答复，未出现被行政诉讼、行政复议情况。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405" w:right="0" w:firstLine="195"/>
      </w:pPr>
      <w:r>
        <w:rPr>
          <w:rStyle w:val="6"/>
          <w:rFonts w:hint="eastAsia"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</w:rPr>
        <w:t>（三）政府信息管理情况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</w:rPr>
        <w:t>严格按照《条例》和县政府总体要求,严格内容发布管理，明确信息发布前严格执行“三审三校”制度，压实各级负责人对拟发布信息的审查职责。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Style w:val="6"/>
          <w:rFonts w:hint="eastAsia"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</w:rPr>
        <w:t>（四）政府信息公开平台建设情况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立足集约共享、高效便民，强化信息发布和办事服务功能，着力打造高效惠民的服务型政府网站，全面推进政府门户网站升级改版。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Style w:val="6"/>
          <w:rFonts w:hint="eastAsia"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</w:rPr>
        <w:t>（五）监督保障情况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</w:pPr>
      <w:r>
        <w:rPr>
          <w:rFonts w:hint="eastAsia"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</w:rPr>
        <w:t>高楼乡及时更新调整委政务公开工作领导小组成员名单。配强专业力量，围绕工作要点和主动公开配档表开展月度巡检，并由办公室牵头对发现的问题立行整改</w:t>
      </w:r>
      <w:r>
        <w:rPr>
          <w:color w:val="333333"/>
          <w:spacing w:val="0"/>
          <w:sz w:val="31"/>
          <w:szCs w:val="31"/>
          <w:bdr w:val="none" w:color="auto" w:sz="0" w:space="0"/>
        </w:rPr>
        <w:t>。</w:t>
      </w:r>
      <w:r>
        <w:rPr>
          <w:rFonts w:hint="eastAsia"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</w:rPr>
        <w:t>严格全乡2023年度政府信息公开工作考核，强化激励和问责。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105" w:firstLine="615"/>
      </w:pPr>
      <w:r>
        <w:rPr>
          <w:rFonts w:hint="eastAsia" w:ascii="仿宋" w:hAnsi="仿宋" w:eastAsia="仿宋" w:cs="仿宋"/>
          <w:color w:val="333333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43"/>
          <w:szCs w:val="43"/>
        </w:rPr>
      </w:pPr>
      <w:r>
        <w:rPr>
          <w:rStyle w:val="6"/>
          <w:rFonts w:hint="eastAsia" w:ascii="黑体" w:hAnsi="宋体" w:eastAsia="黑体" w:cs="黑体"/>
          <w:b/>
          <w:spacing w:val="0"/>
          <w:sz w:val="31"/>
          <w:szCs w:val="31"/>
          <w:bdr w:val="none" w:color="auto" w:sz="0" w:space="0"/>
        </w:rPr>
        <w:t>二、主动公开政府信息情况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0" w:afterAutospacing="0" w:line="450" w:lineRule="atLeast"/>
        <w:ind w:left="0" w:right="0"/>
      </w:pPr>
      <w:r>
        <w:rPr>
          <w:rStyle w:val="6"/>
          <w:rFonts w:hint="eastAsia" w:ascii="宋体" w:hAnsi="宋体" w:eastAsia="宋体" w:cs="宋体"/>
          <w:color w:val="333333"/>
          <w:spacing w:val="0"/>
          <w:sz w:val="7"/>
          <w:szCs w:val="7"/>
          <w:bdr w:val="none" w:color="auto" w:sz="0" w:space="0"/>
        </w:rPr>
        <w:t> </w:t>
      </w:r>
    </w:p>
    <w:tbl>
      <w:tblPr>
        <w:tblW w:w="0" w:type="auto"/>
        <w:tblInd w:w="10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5"/>
        <w:gridCol w:w="1845"/>
        <w:gridCol w:w="1800"/>
        <w:gridCol w:w="18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195" w:right="318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4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本年制发件数</w:t>
            </w:r>
          </w:p>
        </w:tc>
        <w:tc>
          <w:tcPr>
            <w:tcW w:w="180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本年废止件数</w:t>
            </w:r>
          </w:p>
        </w:tc>
        <w:tc>
          <w:tcPr>
            <w:tcW w:w="18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行政规范性文件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3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195" w:right="318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5535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55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3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195" w:right="318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5535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55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0</w:t>
            </w:r>
            <w:r>
              <w:rPr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55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3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195" w:right="318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900" w:right="885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553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1350" w:right="1335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450" w:lineRule="atLeast"/>
              <w:ind w:left="105" w:right="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55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50" w:lineRule="atLeast"/>
              <w:ind w:left="315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</w:pPr>
      <w:r>
        <w:rPr>
          <w:rFonts w:ascii="微软雅黑" w:hAnsi="微软雅黑" w:eastAsia="微软雅黑" w:cs="微软雅黑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50" w:lineRule="atLeast"/>
        <w:ind w:left="0" w:right="0" w:firstLine="615"/>
      </w:pPr>
      <w:r>
        <w:rPr>
          <w:rStyle w:val="6"/>
          <w:rFonts w:hint="eastAsia" w:ascii="黑体" w:hAnsi="宋体" w:eastAsia="黑体" w:cs="黑体"/>
          <w:color w:val="333333"/>
          <w:spacing w:val="0"/>
          <w:sz w:val="31"/>
          <w:szCs w:val="31"/>
          <w:bdr w:val="none" w:color="auto" w:sz="0" w:space="0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0" w:afterAutospacing="0" w:line="450" w:lineRule="atLeast"/>
        <w:ind w:left="0" w:right="0"/>
      </w:pPr>
      <w:r>
        <w:rPr>
          <w:rStyle w:val="6"/>
          <w:rFonts w:hint="eastAsia" w:ascii="宋体" w:hAnsi="宋体" w:eastAsia="宋体" w:cs="宋体"/>
          <w:color w:val="333333"/>
          <w:spacing w:val="0"/>
          <w:sz w:val="7"/>
          <w:szCs w:val="7"/>
          <w:bdr w:val="none" w:color="auto" w:sz="0" w:space="0"/>
        </w:rPr>
        <w:t> </w:t>
      </w:r>
    </w:p>
    <w:tbl>
      <w:tblPr>
        <w:tblW w:w="0" w:type="auto"/>
        <w:tblInd w:w="10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8"/>
        <w:gridCol w:w="1236"/>
        <w:gridCol w:w="1456"/>
        <w:gridCol w:w="765"/>
        <w:gridCol w:w="678"/>
        <w:gridCol w:w="678"/>
        <w:gridCol w:w="741"/>
        <w:gridCol w:w="825"/>
        <w:gridCol w:w="635"/>
        <w:gridCol w:w="6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0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50" w:right="12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190" w:type="dxa"/>
            <w:gridSpan w:val="7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2115" w:right="207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285" w:right="165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3750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1215" w:right="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675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150" w:right="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333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65" w:right="135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65" w:right="135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76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0" w:lineRule="atLeast"/>
              <w:ind w:left="195" w:right="165"/>
              <w:jc w:val="both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90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3"/>
                <w:szCs w:val="13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80" w:right="15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67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50" w:lineRule="atLeast"/>
              <w:ind w:left="135" w:right="105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675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0" w:type="dxa"/>
            <w:gridSpan w:val="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150" w:right="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30" w:right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45" w:right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330" w:type="dxa"/>
            <w:gridSpan w:val="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150" w:right="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45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300" w:lineRule="atLeast"/>
              <w:ind w:left="120" w:right="75"/>
              <w:jc w:val="both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705" w:right="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45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0" w:lineRule="atLeast"/>
              <w:ind w:left="120" w:right="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（二</w:t>
            </w:r>
            <w:r>
              <w:rPr>
                <w:rFonts w:hint="eastAsia" w:ascii="宋体" w:hAnsi="宋体" w:eastAsia="宋体" w:cs="宋体"/>
                <w:color w:val="333333"/>
                <w:spacing w:val="-30"/>
                <w:sz w:val="19"/>
                <w:szCs w:val="19"/>
                <w:bdr w:val="none" w:color="auto" w:sz="0" w:space="0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spacing w:val="-15"/>
                <w:sz w:val="19"/>
                <w:szCs w:val="19"/>
                <w:bdr w:val="none" w:color="auto" w:sz="0" w:space="0"/>
              </w:rPr>
              <w:t>部分公开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pacing w:val="0"/>
                <w:sz w:val="19"/>
                <w:szCs w:val="19"/>
                <w:bdr w:val="none" w:color="auto" w:sz="0" w:space="0"/>
              </w:rPr>
              <w:t>区分处理的， </w:t>
            </w:r>
            <w:r>
              <w:rPr>
                <w:rFonts w:hint="eastAsia" w:ascii="宋体" w:hAnsi="宋体" w:eastAsia="宋体" w:cs="宋体"/>
                <w:color w:val="333333"/>
                <w:spacing w:val="-15"/>
                <w:sz w:val="19"/>
                <w:szCs w:val="19"/>
                <w:bdr w:val="none" w:color="auto" w:sz="0" w:space="0"/>
              </w:rPr>
              <w:t>只计这一情形，不计其他情形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0" w:afterAutospacing="0" w:line="450" w:lineRule="atLeast"/>
              <w:ind w:left="30" w:right="0"/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0" w:afterAutospacing="0" w:line="450" w:lineRule="atLeast"/>
              <w:ind w:left="45" w:right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50" w:right="12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（三） 不予公开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120" w:right="0"/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1.</w:t>
            </w:r>
            <w:r>
              <w:rPr>
                <w:rFonts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属于国家秘密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450" w:lineRule="atLeast"/>
              <w:ind w:left="45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0" w:lineRule="atLeast"/>
              <w:ind w:left="120" w:right="270"/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其他法律行政法规禁止公开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45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0" w:lineRule="atLeast"/>
              <w:ind w:left="120" w:right="180"/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3.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危及</w:t>
            </w: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“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三安全一稳定</w:t>
            </w: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”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45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0" w:lineRule="atLeast"/>
              <w:ind w:left="120" w:right="270"/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4.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保护第三方合法权益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45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0" w:lineRule="atLeast"/>
              <w:ind w:left="120" w:right="270"/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5.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属于三类内部事务信息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45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0" w:lineRule="atLeast"/>
              <w:ind w:left="120" w:right="270"/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6.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属于四类过程性信息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45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0" w:lineRule="atLeast"/>
              <w:ind w:left="120" w:right="270"/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7.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属于行政执法案卷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45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0" w:lineRule="atLeast"/>
              <w:ind w:left="120" w:right="270"/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8.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属于行政查询事项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45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00" w:lineRule="atLeast"/>
              <w:ind w:left="150" w:right="12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（四） 无法提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0" w:lineRule="atLeast"/>
              <w:ind w:left="120" w:right="270"/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1.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本机关不掌握相关政府信息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eastAsia="仿宋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45" w:right="0"/>
            </w:pPr>
            <w:r>
              <w:rPr>
                <w:rFonts w:hint="default" w:ascii="Times New Roman" w:hAnsi="Times New Roman" w:eastAsia="仿宋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</w:pPr>
      <w:r>
        <w:rPr>
          <w:rFonts w:hint="eastAsia" w:ascii="微软雅黑" w:hAnsi="微软雅黑" w:eastAsia="微软雅黑" w:cs="微软雅黑"/>
          <w:color w:val="333333"/>
          <w:spacing w:val="0"/>
          <w:sz w:val="24"/>
          <w:szCs w:val="24"/>
          <w:bdr w:val="none" w:color="auto" w:sz="0" w:space="0"/>
        </w:rPr>
        <w:t> </w:t>
      </w:r>
    </w:p>
    <w:tbl>
      <w:tblPr>
        <w:tblW w:w="0" w:type="auto"/>
        <w:tblInd w:w="10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1236"/>
        <w:gridCol w:w="1710"/>
        <w:gridCol w:w="699"/>
        <w:gridCol w:w="647"/>
        <w:gridCol w:w="647"/>
        <w:gridCol w:w="699"/>
        <w:gridCol w:w="815"/>
        <w:gridCol w:w="621"/>
        <w:gridCol w:w="6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00" w:type="dxa"/>
            <w:vMerge w:val="restart"/>
            <w:tcBorders>
              <w:top w:val="single" w:color="EBE9D7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40" w:type="dxa"/>
            <w:vMerge w:val="restart"/>
            <w:tcBorders>
              <w:top w:val="single" w:color="EBE9D7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30" w:right="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供</w:t>
            </w:r>
          </w:p>
        </w:tc>
        <w:tc>
          <w:tcPr>
            <w:tcW w:w="1875" w:type="dxa"/>
            <w:tcBorders>
              <w:top w:val="single" w:color="EBE9D7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300" w:lineRule="atLeast"/>
              <w:ind w:left="120" w:right="270"/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没有现成信息需要另行制作</w:t>
            </w:r>
          </w:p>
        </w:tc>
        <w:tc>
          <w:tcPr>
            <w:tcW w:w="765" w:type="dxa"/>
            <w:tcBorders>
              <w:top w:val="single" w:color="EBE9D7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EBE9D7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EBE9D7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single" w:color="EBE9D7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single" w:color="EBE9D7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EBE9D7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EBE9D7" w:sz="6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450" w:lineRule="atLeast"/>
              <w:ind w:left="45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00" w:type="dxa"/>
            <w:vMerge w:val="continue"/>
            <w:tcBorders>
              <w:top w:val="single" w:color="EBE9D7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EBE9D7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0" w:lineRule="atLeast"/>
              <w:ind w:left="120" w:right="270"/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3.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补正后申请内容仍不明确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45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00" w:type="dxa"/>
            <w:vMerge w:val="continue"/>
            <w:tcBorders>
              <w:top w:val="single" w:color="EBE9D7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300" w:lineRule="atLeast"/>
              <w:ind w:left="150" w:right="12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（五） 不予处理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0" w:lineRule="atLeast"/>
              <w:ind w:left="120" w:right="270"/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1.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信访举报投诉类申请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45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vMerge w:val="continue"/>
            <w:tcBorders>
              <w:top w:val="single" w:color="EBE9D7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120" w:right="0"/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重复申请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45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00" w:type="dxa"/>
            <w:vMerge w:val="continue"/>
            <w:tcBorders>
              <w:top w:val="single" w:color="EBE9D7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0" w:lineRule="atLeast"/>
              <w:ind w:left="120" w:right="270"/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3.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要求提供公开出版物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45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00" w:type="dxa"/>
            <w:vMerge w:val="continue"/>
            <w:tcBorders>
              <w:top w:val="single" w:color="EBE9D7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0" w:lineRule="atLeast"/>
              <w:ind w:left="120" w:right="270"/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4.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无正当理由大量反复申请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450" w:lineRule="atLeast"/>
              <w:ind w:left="45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00" w:type="dxa"/>
            <w:vMerge w:val="continue"/>
            <w:tcBorders>
              <w:top w:val="single" w:color="EBE9D7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300" w:lineRule="atLeast"/>
              <w:ind w:left="120" w:right="225"/>
              <w:jc w:val="both"/>
            </w:pPr>
            <w:r>
              <w:rPr>
                <w:rFonts w:hint="default" w:ascii="Times New Roman" w:hAnsi="Times New Roman" w:cs="Times New Roman"/>
                <w:color w:val="333333"/>
                <w:sz w:val="19"/>
                <w:szCs w:val="19"/>
                <w:bdr w:val="none" w:color="auto" w:sz="0" w:space="0"/>
              </w:rPr>
              <w:t>5.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  <w:bdr w:val="none" w:color="auto" w:sz="0" w:space="0"/>
              </w:rPr>
              <w:t>要求行政机关确认或重新出具已获取信息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45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vMerge w:val="continue"/>
            <w:tcBorders>
              <w:top w:val="single" w:color="EBE9D7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705" w:right="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45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0" w:type="dxa"/>
            <w:vMerge w:val="continue"/>
            <w:tcBorders>
              <w:top w:val="single" w:color="EBE9D7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900" w:right="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30" w:right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45" w:right="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30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630" w:right="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50" w:lineRule="atLeast"/>
              <w:ind w:left="45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Style w:val="6"/>
          <w:rFonts w:hint="eastAsia" w:ascii="宋体" w:hAnsi="宋体" w:eastAsia="宋体" w:cs="宋体"/>
          <w:color w:val="333333"/>
          <w:spacing w:val="0"/>
          <w:sz w:val="28"/>
          <w:szCs w:val="28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450" w:lineRule="atLeast"/>
        <w:ind w:left="660" w:right="0" w:firstLine="0"/>
      </w:pPr>
      <w:r>
        <w:rPr>
          <w:rStyle w:val="6"/>
          <w:rFonts w:hint="eastAsia" w:ascii="黑体" w:hAnsi="宋体" w:eastAsia="黑体" w:cs="黑体"/>
          <w:color w:val="333333"/>
          <w:spacing w:val="0"/>
          <w:sz w:val="30"/>
          <w:szCs w:val="30"/>
          <w:bdr w:val="none" w:color="auto" w:sz="0" w:space="0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Style w:val="6"/>
          <w:rFonts w:hint="eastAsia" w:ascii="宋体" w:hAnsi="宋体" w:eastAsia="宋体" w:cs="宋体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0" w:afterAutospacing="0" w:line="450" w:lineRule="atLeast"/>
        <w:ind w:left="0" w:right="0"/>
      </w:pPr>
      <w:r>
        <w:rPr>
          <w:rStyle w:val="6"/>
          <w:rFonts w:hint="eastAsia" w:ascii="宋体" w:hAnsi="宋体" w:eastAsia="宋体" w:cs="宋体"/>
          <w:color w:val="333333"/>
          <w:spacing w:val="0"/>
          <w:sz w:val="13"/>
          <w:szCs w:val="13"/>
          <w:bdr w:val="none" w:color="auto" w:sz="0" w:space="0"/>
        </w:rPr>
        <w:t> </w:t>
      </w:r>
    </w:p>
    <w:tbl>
      <w:tblPr>
        <w:tblW w:w="0" w:type="auto"/>
        <w:tblInd w:w="10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545"/>
        <w:gridCol w:w="545"/>
        <w:gridCol w:w="545"/>
        <w:gridCol w:w="603"/>
        <w:gridCol w:w="516"/>
        <w:gridCol w:w="545"/>
        <w:gridCol w:w="545"/>
        <w:gridCol w:w="545"/>
        <w:gridCol w:w="545"/>
        <w:gridCol w:w="545"/>
        <w:gridCol w:w="545"/>
        <w:gridCol w:w="545"/>
        <w:gridCol w:w="545"/>
        <w:gridCol w:w="5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1035" w:right="1005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5655" w:type="dxa"/>
            <w:gridSpan w:val="10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2430" w:right="240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5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95" w:right="150"/>
              <w:jc w:val="both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95" w:right="165"/>
              <w:jc w:val="both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570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95" w:right="165"/>
              <w:jc w:val="both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570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95" w:right="165"/>
              <w:jc w:val="both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30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225" w:right="195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645" w:right="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2850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960" w:right="0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55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300" w:lineRule="atLeast"/>
              <w:ind w:left="180" w:right="150"/>
              <w:jc w:val="both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5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300" w:lineRule="atLeast"/>
              <w:ind w:left="195" w:right="165"/>
              <w:jc w:val="both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57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300" w:lineRule="atLeast"/>
              <w:ind w:left="195" w:right="165"/>
              <w:jc w:val="both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57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300" w:lineRule="atLeast"/>
              <w:ind w:left="195" w:right="165"/>
              <w:jc w:val="both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5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00" w:lineRule="atLeast"/>
              <w:ind w:left="195" w:right="165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57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300" w:lineRule="atLeast"/>
              <w:ind w:left="195" w:right="165"/>
              <w:jc w:val="both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57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300" w:lineRule="atLeast"/>
              <w:ind w:left="195" w:right="165"/>
              <w:jc w:val="both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57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300" w:lineRule="atLeast"/>
              <w:ind w:left="195" w:right="165"/>
              <w:jc w:val="both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57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0" w:afterAutospacing="0" w:line="300" w:lineRule="atLeast"/>
              <w:ind w:left="195" w:right="165"/>
              <w:jc w:val="both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58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00" w:lineRule="atLeast"/>
              <w:ind w:left="210" w:right="165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 w:line="450" w:lineRule="atLeast"/>
              <w:ind w:left="3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50" w:lineRule="atLeast"/>
              <w:ind w:left="120" w:right="0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Style w:val="6"/>
          <w:rFonts w:hint="eastAsia" w:ascii="宋体" w:hAnsi="宋体" w:eastAsia="宋体" w:cs="宋体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Style w:val="6"/>
          <w:rFonts w:hint="eastAsia" w:ascii="宋体" w:hAnsi="宋体" w:eastAsia="宋体" w:cs="宋体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Style w:val="6"/>
          <w:rFonts w:hint="eastAsia" w:ascii="宋体" w:hAnsi="宋体" w:eastAsia="宋体" w:cs="宋体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660" w:right="0" w:firstLine="0"/>
      </w:pPr>
      <w:r>
        <w:rPr>
          <w:rStyle w:val="6"/>
          <w:rFonts w:hint="eastAsia" w:ascii="黑体" w:hAnsi="宋体" w:eastAsia="黑体" w:cs="黑体"/>
          <w:color w:val="333333"/>
          <w:spacing w:val="0"/>
          <w:sz w:val="30"/>
          <w:szCs w:val="30"/>
          <w:bdr w:val="none" w:color="auto" w:sz="0" w:space="0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660" w:right="0"/>
      </w:pPr>
      <w:r>
        <w:rPr>
          <w:rFonts w:hint="eastAsia" w:ascii="楷体" w:hAnsi="楷体" w:eastAsia="楷体" w:cs="楷体"/>
          <w:color w:val="333333"/>
          <w:spacing w:val="0"/>
          <w:sz w:val="31"/>
          <w:szCs w:val="31"/>
          <w:bdr w:val="none" w:color="auto" w:sz="0" w:space="0"/>
        </w:rPr>
        <w:t>（一）存在的主要问题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</w:pPr>
      <w:r>
        <w:rPr>
          <w:rFonts w:hint="eastAsia" w:ascii="微软雅黑" w:hAnsi="微软雅黑" w:eastAsia="微软雅黑" w:cs="微软雅黑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450" w:lineRule="atLeast"/>
        <w:ind w:left="660" w:right="0" w:firstLine="0"/>
      </w:pPr>
      <w:r>
        <w:rPr>
          <w:rFonts w:hint="eastAsia" w:ascii="仿宋" w:hAnsi="仿宋" w:eastAsia="仿宋" w:cs="仿宋"/>
          <w:color w:val="333333"/>
          <w:spacing w:val="0"/>
          <w:sz w:val="31"/>
          <w:szCs w:val="31"/>
          <w:bdr w:val="none" w:color="auto" w:sz="0" w:space="0"/>
        </w:rPr>
        <w:t>1</w:t>
      </w:r>
      <w:r>
        <w:rPr>
          <w:rFonts w:hint="eastAsia" w:ascii="仿宋" w:hAnsi="仿宋" w:eastAsia="仿宋" w:cs="仿宋"/>
          <w:color w:val="333333"/>
          <w:spacing w:val="-15"/>
          <w:sz w:val="31"/>
          <w:szCs w:val="31"/>
          <w:bdr w:val="none" w:color="auto" w:sz="0" w:space="0"/>
        </w:rPr>
        <w:t>、主动公开规范程度不断加强。主动公开的政府信息存在个别细节问题，部分信息公开不够及时。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75" w:lineRule="atLeast"/>
        <w:ind w:left="240" w:right="210" w:firstLine="420"/>
      </w:pPr>
      <w:r>
        <w:rPr>
          <w:rFonts w:hint="eastAsia" w:ascii="仿宋" w:hAnsi="仿宋" w:eastAsia="仿宋" w:cs="仿宋"/>
          <w:color w:val="333333"/>
          <w:spacing w:val="0"/>
          <w:sz w:val="31"/>
          <w:szCs w:val="31"/>
          <w:bdr w:val="none" w:color="auto" w:sz="0" w:space="0"/>
        </w:rPr>
        <w:t>2、依申请公开办理流程不断规范。2023年，针对依申请公开的行政复议数量有所增加。为改进这一情况，通过规范依申请公开办理流程，对科室回复进一步严格把关，积极与申请人沟通，有效提高了依申请公开的答复质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60" w:right="0" w:firstLine="0"/>
      </w:pPr>
      <w:r>
        <w:rPr>
          <w:rFonts w:hint="eastAsia" w:ascii="楷体" w:hAnsi="楷体" w:eastAsia="楷体" w:cs="楷体"/>
          <w:color w:val="333333"/>
          <w:spacing w:val="0"/>
          <w:sz w:val="31"/>
          <w:szCs w:val="31"/>
          <w:bdr w:val="none" w:color="auto" w:sz="0" w:space="0"/>
        </w:rPr>
        <w:t>（二）下步工作改进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375" w:lineRule="atLeast"/>
        <w:ind w:left="240" w:right="210" w:firstLine="420"/>
      </w:pPr>
      <w:r>
        <w:rPr>
          <w:rFonts w:hint="eastAsia" w:ascii="仿宋" w:hAnsi="仿宋" w:eastAsia="仿宋" w:cs="仿宋"/>
          <w:color w:val="333333"/>
          <w:spacing w:val="0"/>
          <w:sz w:val="31"/>
          <w:szCs w:val="31"/>
          <w:bdr w:val="none" w:color="auto" w:sz="0" w:space="0"/>
        </w:rPr>
        <w:t>1、</w:t>
      </w:r>
      <w:r>
        <w:rPr>
          <w:rFonts w:hint="eastAsia" w:ascii="仿宋" w:hAnsi="仿宋" w:eastAsia="仿宋" w:cs="仿宋"/>
          <w:color w:val="333333"/>
          <w:spacing w:val="-15"/>
          <w:sz w:val="31"/>
          <w:szCs w:val="31"/>
          <w:bdr w:val="none" w:color="auto" w:sz="0" w:space="0"/>
        </w:rPr>
        <w:t>为改进这一问题，通过每月自查自纠，制作《政务公开巡检问题汇总表》，及时发现问题并立即整改，提高主动公开发布质量。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660" w:right="210" w:firstLine="0"/>
      </w:pPr>
      <w:r>
        <w:rPr>
          <w:rFonts w:hint="eastAsia" w:ascii="仿宋" w:hAnsi="仿宋" w:eastAsia="仿宋" w:cs="仿宋"/>
          <w:color w:val="333333"/>
          <w:spacing w:val="0"/>
          <w:sz w:val="31"/>
          <w:szCs w:val="31"/>
          <w:bdr w:val="none" w:color="auto" w:sz="0" w:space="0"/>
        </w:rPr>
        <w:t>2、提高信息公开的准确性，及时更新信息动态，确保公开的内容和时效。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0" w:afterAutospacing="0" w:line="450" w:lineRule="atLeast"/>
        <w:ind w:left="660" w:right="0" w:firstLine="0"/>
      </w:pPr>
      <w:r>
        <w:rPr>
          <w:rStyle w:val="6"/>
          <w:rFonts w:hint="eastAsia" w:ascii="黑体" w:hAnsi="宋体" w:eastAsia="黑体" w:cs="黑体"/>
          <w:color w:val="333333"/>
          <w:spacing w:val="0"/>
          <w:sz w:val="30"/>
          <w:szCs w:val="30"/>
          <w:bdr w:val="none" w:color="auto" w:sz="0" w:space="0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Style w:val="6"/>
          <w:rFonts w:hint="eastAsia"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</w:rPr>
        <w:t>（一）收取信息处理费情况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</w:rPr>
        <w:t>本年度我乡信息处理费收取金额为0。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Style w:val="6"/>
          <w:rFonts w:hint="eastAsia"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</w:rPr>
        <w:t>（二）落实上年度政务公开工作要点情况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" w:hAnsi="仿宋" w:eastAsia="仿宋" w:cs="仿宋"/>
          <w:color w:val="333333"/>
          <w:spacing w:val="0"/>
          <w:sz w:val="31"/>
          <w:szCs w:val="31"/>
          <w:bdr w:val="none" w:color="auto" w:sz="0" w:space="0"/>
        </w:rPr>
        <w:t>围绕促进经济发展、激发市场主体活力强化主动公开，及时公开重大建设项目信息，加强“稳中向好、进中提质”系列政策的权威发布和全面解读。持续深化政策高质量解读，认真落实政策解读“三同步”工作机制，拓展政策解读新形式、多角度。严格依申请公开规范答复，进一步完善依申请公开工作登记管理、协助调查、会商、归档等各环节程序、标准，依法依规及时准确予以答复反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Style w:val="6"/>
          <w:rFonts w:hint="eastAsia"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</w:rPr>
        <w:t>（三）人大代表建议和政协提案办理结果情况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</w:rPr>
        <w:t>2023年高楼乡收到人大建议18件，政协提案5件。截至目前建议、提案全部办理完毕，办结率为100%。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Style w:val="6"/>
          <w:rFonts w:hint="eastAsia"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</w:rPr>
        <w:t>（四）本行政机关年度政务公开工作创新情况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</w:rPr>
        <w:t>高楼乡拓展线上线下政策解读新路径，线上对国家、省、市惠企利民政策进行归集展示推广，有效运用图表图解等形式围绕民生关切政策开展具象化解读宣传；线下充分利用服务企业走访、志愿服务活动开展政策解读宣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Style w:val="6"/>
          <w:rFonts w:hint="eastAsia"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</w:rPr>
        <w:t>（五）本行政机关政府信息公开工作年度报告数据统计需要说明的事项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</w:rPr>
        <w:t>本报告所列数据的统计期限自2023年1月1日起至2023年12月31日止。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Style w:val="6"/>
          <w:rFonts w:hint="eastAsia"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</w:rPr>
        <w:t>（六）本行政机关认为需要报告的其他事项；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</w:rPr>
        <w:t>（七）</w:t>
      </w:r>
      <w:r>
        <w:rPr>
          <w:rStyle w:val="6"/>
          <w:rFonts w:hint="eastAsia"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</w:rPr>
        <w:t>其他有关文件专门要求通过政府信息公开工作年度报告予以报告。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仿宋简体" w:hAnsi="方正仿宋简体" w:eastAsia="方正仿宋简体" w:cs="方正仿宋简体"/>
          <w:color w:val="333333"/>
          <w:spacing w:val="0"/>
          <w:sz w:val="31"/>
          <w:szCs w:val="31"/>
          <w:bdr w:val="none" w:color="auto" w:sz="0" w:space="0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</w:pPr>
      <w:r>
        <w:rPr>
          <w:rFonts w:hint="eastAsia" w:ascii="仿宋" w:hAnsi="仿宋" w:eastAsia="仿宋" w:cs="仿宋"/>
          <w:color w:val="333333"/>
          <w:spacing w:val="0"/>
          <w:sz w:val="30"/>
          <w:szCs w:val="30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</w:pPr>
      <w:r>
        <w:rPr>
          <w:rFonts w:hint="eastAsia" w:ascii="仿宋" w:hAnsi="仿宋" w:eastAsia="仿宋" w:cs="仿宋"/>
          <w:color w:val="333333"/>
          <w:spacing w:val="0"/>
          <w:sz w:val="30"/>
          <w:szCs w:val="30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</w:pPr>
      <w:r>
        <w:rPr>
          <w:rFonts w:hint="eastAsia" w:ascii="仿宋" w:hAnsi="仿宋" w:eastAsia="仿宋" w:cs="仿宋"/>
          <w:color w:val="333333"/>
          <w:spacing w:val="0"/>
          <w:sz w:val="30"/>
          <w:szCs w:val="30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</w:pPr>
      <w:r>
        <w:rPr>
          <w:rFonts w:hint="eastAsia" w:ascii="仿宋" w:hAnsi="仿宋" w:eastAsia="仿宋" w:cs="仿宋"/>
          <w:color w:val="333333"/>
          <w:spacing w:val="0"/>
          <w:sz w:val="30"/>
          <w:szCs w:val="30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</w:pPr>
      <w:r>
        <w:rPr>
          <w:rFonts w:hint="eastAsia" w:ascii="仿宋" w:hAnsi="仿宋" w:eastAsia="仿宋" w:cs="仿宋"/>
          <w:color w:val="333333"/>
          <w:spacing w:val="0"/>
          <w:sz w:val="30"/>
          <w:szCs w:val="30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315" w:firstLineChars="100"/>
        <w:jc w:val="right"/>
      </w:pPr>
      <w:r>
        <w:rPr>
          <w:rFonts w:hint="default" w:ascii="Times New Roman" w:hAnsi="Times New Roman" w:cs="Times New Roman"/>
          <w:color w:val="333333"/>
          <w:spacing w:val="0"/>
          <w:sz w:val="31"/>
          <w:szCs w:val="31"/>
          <w:bdr w:val="none" w:color="auto" w:sz="0" w:space="0"/>
        </w:rPr>
        <w:t>202</w:t>
      </w:r>
      <w:r>
        <w:rPr>
          <w:rFonts w:hint="default" w:ascii="Times New Roman" w:hAnsi="Times New Roman" w:eastAsia="宋体" w:cs="Times New Roman"/>
          <w:color w:val="333333"/>
          <w:spacing w:val="0"/>
          <w:sz w:val="31"/>
          <w:szCs w:val="31"/>
          <w:bdr w:val="none" w:color="auto" w:sz="0" w:space="0"/>
        </w:rPr>
        <w:t>4</w:t>
      </w:r>
      <w:r>
        <w:rPr>
          <w:rFonts w:hint="eastAsia" w:ascii="仿宋" w:hAnsi="仿宋" w:eastAsia="仿宋" w:cs="仿宋"/>
          <w:color w:val="333333"/>
          <w:spacing w:val="-60"/>
          <w:sz w:val="31"/>
          <w:szCs w:val="31"/>
          <w:bdr w:val="none" w:color="auto" w:sz="0" w:space="0"/>
        </w:rPr>
        <w:t>年 </w:t>
      </w:r>
      <w:r>
        <w:rPr>
          <w:rFonts w:hint="eastAsia" w:ascii="仿宋" w:hAnsi="仿宋" w:eastAsia="仿宋" w:cs="仿宋"/>
          <w:color w:val="333333"/>
          <w:spacing w:val="-60"/>
          <w:sz w:val="31"/>
          <w:szCs w:val="31"/>
          <w:bdr w:val="none" w:color="auto" w:sz="0" w:space="0"/>
          <w:lang w:val="en-US" w:eastAsia="zh-CN"/>
        </w:rPr>
        <w:t xml:space="preserve">  1</w:t>
      </w:r>
      <w:r>
        <w:rPr>
          <w:rFonts w:hint="eastAsia" w:ascii="仿宋" w:hAnsi="仿宋" w:eastAsia="仿宋" w:cs="仿宋"/>
          <w:color w:val="333333"/>
          <w:spacing w:val="-45"/>
          <w:sz w:val="31"/>
          <w:szCs w:val="31"/>
          <w:bdr w:val="none" w:color="auto" w:sz="0" w:space="0"/>
        </w:rPr>
        <w:t>月 </w:t>
      </w:r>
      <w:r>
        <w:rPr>
          <w:rFonts w:hint="eastAsia" w:ascii="仿宋" w:hAnsi="仿宋" w:eastAsia="仿宋" w:cs="仿宋"/>
          <w:color w:val="333333"/>
          <w:spacing w:val="0"/>
          <w:sz w:val="31"/>
          <w:szCs w:val="31"/>
          <w:bdr w:val="none" w:color="auto" w:sz="0" w:space="0"/>
        </w:rPr>
        <w:t>24</w:t>
      </w:r>
      <w:r>
        <w:rPr>
          <w:rFonts w:hint="eastAsia" w:ascii="仿宋" w:hAnsi="仿宋" w:eastAsia="仿宋" w:cs="仿宋"/>
          <w:color w:val="333333"/>
          <w:spacing w:val="-45"/>
          <w:sz w:val="31"/>
          <w:szCs w:val="31"/>
          <w:bdr w:val="none" w:color="auto" w:sz="0" w:space="0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99906A-0BCA-4C14-B21B-03A3F2D1A84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1A0BA11-175D-4AAC-82DF-776B0F893901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5237A9A-8047-4E68-93DD-792C003C8B3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006117C8-AA29-4ADE-9EA1-66B11ABA5ED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693D34E-E20D-4E8C-BACB-27AB8DDECCD3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N2FiMDMxNTZhYWU3YjdlOGY0NWIzYTZlNTU1MGQifQ=="/>
  </w:docVars>
  <w:rsids>
    <w:rsidRoot w:val="40606951"/>
    <w:rsid w:val="4060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2024-01-31T01:07:00Z</dcterms:created>
  <dc:creator>毛毛0626</dc:creator>
  <cp:lastModifiedBy>毛毛0626</cp:lastModifiedBy>
  <dcterms:modified xsi:type="dcterms:W3CDTF">2024-01-31T01:08:48Z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64BAF1BBFEBB4378B5B6C29687C6EE09_11</vt:lpwstr>
  </property>
</Properties>
</file>