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1"/>
        <w:ind w:left="243" w:right="0" w:firstLine="0"/>
        <w:jc w:val="left"/>
        <w:rPr>
          <w:rFonts w:ascii="Times New Roman"/>
          <w:b/>
          <w:sz w:val="30"/>
        </w:rPr>
      </w:pPr>
      <w:r>
        <w:rPr>
          <w:rFonts w:ascii="Times New Roman"/>
          <w:b/>
          <w:sz w:val="30"/>
        </w:rPr>
        <w:t>WSDR-2020-0020001</w:t>
      </w:r>
    </w:p>
    <w:p>
      <w:pPr>
        <w:pStyle w:val="BodyText"/>
        <w:rPr>
          <w:rFonts w:ascii="Times New Roman"/>
          <w:b/>
          <w:sz w:val="32"/>
        </w:rPr>
      </w:pPr>
    </w:p>
    <w:p>
      <w:pPr>
        <w:pStyle w:val="BodyText"/>
        <w:spacing w:before="11"/>
        <w:rPr>
          <w:rFonts w:ascii="Times New Roman"/>
          <w:b/>
          <w:sz w:val="25"/>
        </w:rPr>
      </w:pPr>
    </w:p>
    <w:p>
      <w:pPr>
        <w:spacing w:before="0"/>
        <w:ind w:left="543" w:right="822" w:firstLine="0"/>
        <w:jc w:val="center"/>
        <w:rPr>
          <w:rFonts w:ascii="方正小标宋简体" w:eastAsia="方正小标宋简体" w:hint="eastAsia"/>
          <w:sz w:val="130"/>
        </w:rPr>
      </w:pPr>
      <w:r>
        <w:rPr>
          <w:rFonts w:ascii="方正小标宋简体" w:eastAsia="方正小标宋简体" w:hint="eastAsia"/>
          <w:color w:val="FF0000"/>
          <w:w w:val="50"/>
          <w:sz w:val="130"/>
        </w:rPr>
        <w:t>微山县人民政府办公室文件</w:t>
      </w:r>
    </w:p>
    <w:p>
      <w:pPr>
        <w:pStyle w:val="BodyText"/>
        <w:spacing w:before="942"/>
        <w:ind w:left="540" w:right="829"/>
        <w:jc w:val="center"/>
      </w:pPr>
      <w:r>
        <w:rPr/>
        <w:t>微政办发〔</w:t>
      </w:r>
      <w:r>
        <w:rPr>
          <w:rFonts w:ascii="Times New Roman" w:eastAsia="Times New Roman"/>
        </w:rPr>
        <w:t>2020</w:t>
      </w:r>
      <w:r>
        <w:rPr/>
        <w:t>〕</w:t>
      </w:r>
      <w:r>
        <w:rPr>
          <w:rFonts w:ascii="Times New Roman" w:eastAsia="Times New Roman"/>
        </w:rPr>
        <w:t>1 </w:t>
      </w:r>
      <w:r>
        <w:rPr/>
        <w:t>号</w:t>
      </w:r>
    </w:p>
    <w:p>
      <w:pPr>
        <w:pStyle w:val="BodyText"/>
        <w:spacing w:before="4"/>
        <w:rPr>
          <w:sz w:val="16"/>
        </w:rPr>
      </w:pPr>
      <w:r>
        <w:rPr/>
        <w:pict>
          <v:line style="position:absolute;mso-position-horizontal-relative:page;mso-position-vertical-relative:paragraph;z-index:-251658240;mso-wrap-distance-left:0;mso-wrap-distance-right:0" from="98.639999pt,14.133936pt" to="508.799999pt,14.133936pt" stroked="true" strokeweight="1.44pt" strokecolor="#ff0000">
            <v:stroke dashstyle="solid"/>
            <w10:wrap type="topAndBottom"/>
          </v:line>
        </w:pict>
      </w:r>
    </w:p>
    <w:p>
      <w:pPr>
        <w:pStyle w:val="BodyText"/>
        <w:rPr>
          <w:sz w:val="20"/>
        </w:rPr>
      </w:pPr>
    </w:p>
    <w:p>
      <w:pPr>
        <w:pStyle w:val="BodyText"/>
        <w:rPr>
          <w:sz w:val="20"/>
        </w:rPr>
      </w:pPr>
    </w:p>
    <w:p>
      <w:pPr>
        <w:pStyle w:val="BodyText"/>
        <w:spacing w:before="5"/>
        <w:rPr>
          <w:sz w:val="20"/>
        </w:rPr>
      </w:pPr>
    </w:p>
    <w:p>
      <w:pPr>
        <w:pStyle w:val="Heading1"/>
        <w:spacing w:line="705" w:lineRule="exact"/>
        <w:ind w:right="827"/>
      </w:pPr>
      <w:r>
        <w:rPr/>
        <w:t>微山县人民政府办公室</w:t>
      </w:r>
    </w:p>
    <w:p>
      <w:pPr>
        <w:tabs>
          <w:tab w:pos="1800" w:val="left" w:leader="none"/>
        </w:tabs>
        <w:spacing w:line="230" w:lineRule="auto" w:before="2"/>
        <w:ind w:left="543" w:right="829" w:firstLine="0"/>
        <w:jc w:val="center"/>
        <w:rPr>
          <w:rFonts w:ascii="方正小标宋简体" w:eastAsia="方正小标宋简体" w:hint="eastAsia"/>
          <w:sz w:val="42"/>
        </w:rPr>
      </w:pPr>
      <w:r>
        <w:rPr>
          <w:rFonts w:ascii="方正小标宋简体" w:eastAsia="方正小标宋简体" w:hint="eastAsia"/>
          <w:sz w:val="42"/>
        </w:rPr>
        <w:t>关于</w:t>
      </w:r>
      <w:r>
        <w:rPr>
          <w:rFonts w:ascii="方正小标宋简体" w:eastAsia="方正小标宋简体" w:hint="eastAsia"/>
          <w:spacing w:val="-3"/>
          <w:sz w:val="42"/>
        </w:rPr>
        <w:t>印</w:t>
      </w:r>
      <w:r>
        <w:rPr>
          <w:rFonts w:ascii="方正小标宋简体" w:eastAsia="方正小标宋简体" w:hint="eastAsia"/>
          <w:sz w:val="42"/>
        </w:rPr>
        <w:t>发《微山</w:t>
      </w:r>
      <w:r>
        <w:rPr>
          <w:rFonts w:ascii="方正小标宋简体" w:eastAsia="方正小标宋简体" w:hint="eastAsia"/>
          <w:spacing w:val="-3"/>
          <w:sz w:val="42"/>
        </w:rPr>
        <w:t>县</w:t>
      </w:r>
      <w:r>
        <w:rPr>
          <w:rFonts w:ascii="方正小标宋简体" w:eastAsia="方正小标宋简体" w:hint="eastAsia"/>
          <w:sz w:val="42"/>
        </w:rPr>
        <w:t>规范性文</w:t>
      </w:r>
      <w:r>
        <w:rPr>
          <w:rFonts w:ascii="方正小标宋简体" w:eastAsia="方正小标宋简体" w:hint="eastAsia"/>
          <w:spacing w:val="-3"/>
          <w:sz w:val="42"/>
        </w:rPr>
        <w:t>件</w:t>
      </w:r>
      <w:r>
        <w:rPr>
          <w:rFonts w:ascii="方正小标宋简体" w:eastAsia="方正小标宋简体" w:hint="eastAsia"/>
          <w:sz w:val="42"/>
        </w:rPr>
        <w:t>管理办法</w:t>
      </w:r>
      <w:r>
        <w:rPr>
          <w:rFonts w:ascii="方正小标宋简体" w:eastAsia="方正小标宋简体" w:hint="eastAsia"/>
          <w:spacing w:val="-3"/>
          <w:sz w:val="42"/>
        </w:rPr>
        <w:t>》</w:t>
      </w:r>
      <w:r>
        <w:rPr>
          <w:rFonts w:ascii="方正小标宋简体" w:eastAsia="方正小标宋简体" w:hint="eastAsia"/>
          <w:spacing w:val="-15"/>
          <w:sz w:val="42"/>
        </w:rPr>
        <w:t>的</w:t>
      </w:r>
      <w:r>
        <w:rPr>
          <w:rFonts w:ascii="方正小标宋简体" w:eastAsia="方正小标宋简体" w:hint="eastAsia"/>
          <w:sz w:val="42"/>
        </w:rPr>
        <w:t>通</w:t>
        <w:tab/>
        <w:t>知</w:t>
      </w:r>
    </w:p>
    <w:p>
      <w:pPr>
        <w:pStyle w:val="BodyText"/>
        <w:spacing w:before="13"/>
        <w:rPr>
          <w:rFonts w:ascii="方正小标宋简体"/>
          <w:sz w:val="35"/>
        </w:rPr>
      </w:pPr>
    </w:p>
    <w:p>
      <w:pPr>
        <w:pStyle w:val="BodyText"/>
        <w:spacing w:line="312" w:lineRule="auto"/>
        <w:ind w:left="106" w:right="388"/>
      </w:pPr>
      <w:r>
        <w:rPr>
          <w:spacing w:val="-7"/>
        </w:rPr>
        <w:t>各乡、镇人民政府，各街道办事处，微山经济开发区、微山岛旅游度假区、南阳古镇旅游管委会，县政府各部门、单位：</w:t>
      </w:r>
    </w:p>
    <w:p>
      <w:pPr>
        <w:pStyle w:val="BodyText"/>
        <w:spacing w:line="309" w:lineRule="auto"/>
        <w:ind w:left="106" w:right="385" w:firstLine="636"/>
      </w:pPr>
      <w:r>
        <w:rPr>
          <w:spacing w:val="-6"/>
        </w:rPr>
        <w:t>《微山县规范性文件管理办法》已经县政府同意，现印发给</w:t>
      </w:r>
      <w:r>
        <w:rPr>
          <w:spacing w:val="-5"/>
        </w:rPr>
        <w:t>你们，请认真组织实施。</w:t>
      </w:r>
    </w:p>
    <w:p>
      <w:pPr>
        <w:pStyle w:val="BodyText"/>
        <w:rPr>
          <w:sz w:val="20"/>
        </w:rPr>
      </w:pPr>
    </w:p>
    <w:p>
      <w:pPr>
        <w:pStyle w:val="BodyText"/>
        <w:spacing w:before="7"/>
        <w:rPr>
          <w:sz w:val="16"/>
        </w:rPr>
      </w:pPr>
    </w:p>
    <w:p>
      <w:pPr>
        <w:pStyle w:val="BodyText"/>
        <w:spacing w:before="50"/>
        <w:ind w:left="4154" w:right="829"/>
        <w:jc w:val="center"/>
      </w:pPr>
      <w:r>
        <w:rPr/>
        <w:t>微山县人民政府办公室</w:t>
      </w:r>
    </w:p>
    <w:p>
      <w:pPr>
        <w:pStyle w:val="BodyText"/>
        <w:spacing w:before="128"/>
        <w:ind w:left="4233" w:right="829"/>
        <w:jc w:val="center"/>
      </w:pPr>
      <w:r>
        <w:rPr>
          <w:rFonts w:ascii="Times New Roman" w:eastAsia="Times New Roman"/>
        </w:rPr>
        <w:t>2020 </w:t>
      </w:r>
      <w:r>
        <w:rPr/>
        <w:t>年 </w:t>
      </w:r>
      <w:r>
        <w:rPr>
          <w:rFonts w:ascii="Times New Roman" w:eastAsia="Times New Roman"/>
        </w:rPr>
        <w:t>1 </w:t>
      </w:r>
      <w:r>
        <w:rPr/>
        <w:t>月 </w:t>
      </w:r>
      <w:r>
        <w:rPr>
          <w:rFonts w:ascii="Times New Roman" w:eastAsia="Times New Roman"/>
        </w:rPr>
        <w:t>29 </w:t>
      </w:r>
      <w:r>
        <w:rPr/>
        <w:t>日</w:t>
      </w:r>
    </w:p>
    <w:p>
      <w:pPr>
        <w:pStyle w:val="BodyText"/>
        <w:spacing w:before="133"/>
        <w:ind w:left="742"/>
      </w:pPr>
      <w:r>
        <w:rPr/>
        <w:t>（此件公开发布）</w:t>
      </w:r>
    </w:p>
    <w:p>
      <w:pPr>
        <w:pStyle w:val="BodyText"/>
        <w:spacing w:before="1"/>
        <w:rPr>
          <w:sz w:val="14"/>
        </w:rPr>
      </w:pPr>
    </w:p>
    <w:p>
      <w:pPr>
        <w:spacing w:before="59"/>
        <w:ind w:left="0" w:right="39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１</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type w:val="continuous"/>
          <w:pgSz w:w="11910" w:h="16840"/>
          <w:pgMar w:top="1580" w:bottom="280" w:left="1480" w:right="1080"/>
        </w:sect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spacing w:before="6"/>
        <w:rPr>
          <w:rFonts w:ascii="新宋体"/>
          <w:sz w:val="20"/>
        </w:rPr>
      </w:pPr>
    </w:p>
    <w:p>
      <w:pPr>
        <w:pStyle w:val="Heading1"/>
        <w:spacing w:line="722" w:lineRule="exact"/>
        <w:ind w:right="827"/>
      </w:pPr>
      <w:r>
        <w:rPr/>
        <w:t>微山县规范性文件管理办法</w:t>
      </w:r>
    </w:p>
    <w:p>
      <w:pPr>
        <w:pStyle w:val="BodyText"/>
        <w:spacing w:before="4"/>
        <w:rPr>
          <w:rFonts w:ascii="方正小标宋简体"/>
          <w:sz w:val="37"/>
        </w:rPr>
      </w:pPr>
    </w:p>
    <w:p>
      <w:pPr>
        <w:pStyle w:val="BodyText"/>
        <w:tabs>
          <w:tab w:pos="1257" w:val="left" w:leader="none"/>
          <w:tab w:pos="1888" w:val="left" w:leader="none"/>
        </w:tabs>
        <w:ind w:right="291"/>
        <w:jc w:val="center"/>
        <w:rPr>
          <w:rFonts w:ascii="文星黑体" w:eastAsia="文星黑体" w:hint="eastAsia"/>
        </w:rPr>
      </w:pPr>
      <w:r>
        <w:rPr>
          <w:rFonts w:ascii="文星黑体" w:eastAsia="文星黑体" w:hint="eastAsia"/>
        </w:rPr>
        <w:t>第</w:t>
      </w:r>
      <w:r>
        <w:rPr>
          <w:rFonts w:ascii="文星黑体" w:eastAsia="文星黑体" w:hint="eastAsia"/>
          <w:spacing w:val="-5"/>
        </w:rPr>
        <w:t>一</w:t>
      </w:r>
      <w:r>
        <w:rPr>
          <w:rFonts w:ascii="文星黑体" w:eastAsia="文星黑体" w:hint="eastAsia"/>
        </w:rPr>
        <w:t>章</w:t>
        <w:tab/>
        <w:t>总</w:t>
        <w:tab/>
        <w:t>则</w:t>
      </w:r>
    </w:p>
    <w:p>
      <w:pPr>
        <w:pStyle w:val="BodyText"/>
        <w:spacing w:before="10"/>
        <w:rPr>
          <w:rFonts w:ascii="文星黑体"/>
          <w:sz w:val="51"/>
        </w:rPr>
      </w:pPr>
    </w:p>
    <w:p>
      <w:pPr>
        <w:pStyle w:val="BodyText"/>
        <w:spacing w:line="319" w:lineRule="auto"/>
        <w:ind w:left="106" w:right="388" w:firstLine="636"/>
        <w:jc w:val="both"/>
      </w:pPr>
      <w:r>
        <w:rPr>
          <w:rFonts w:ascii="文星黑体" w:eastAsia="文星黑体" w:hint="eastAsia"/>
          <w:spacing w:val="2"/>
        </w:rPr>
        <w:t>第一条  </w:t>
      </w:r>
      <w:r>
        <w:rPr>
          <w:spacing w:val="-5"/>
        </w:rPr>
        <w:t>为规范规范性文件的制定，完善规范性文件备案制</w:t>
      </w:r>
      <w:r>
        <w:rPr>
          <w:spacing w:val="-7"/>
        </w:rPr>
        <w:t>度，加强对规范性文件的监督管理，维护法制统一，根据国务院办公厅《关于全面推行行政规范性文件合法性审核机制的指导意</w:t>
      </w:r>
      <w:r>
        <w:rPr>
          <w:spacing w:val="-76"/>
        </w:rPr>
        <w:t>见》</w:t>
      </w:r>
      <w:r>
        <w:rPr/>
        <w:t>（国办发〔</w:t>
      </w:r>
      <w:r>
        <w:rPr>
          <w:rFonts w:ascii="Times New Roman" w:eastAsia="Times New Roman"/>
        </w:rPr>
        <w:t>2018</w:t>
      </w:r>
      <w:r>
        <w:rPr/>
        <w:t>〕</w:t>
      </w:r>
      <w:r>
        <w:rPr>
          <w:rFonts w:ascii="Times New Roman" w:eastAsia="Times New Roman"/>
        </w:rPr>
        <w:t>115 </w:t>
      </w:r>
      <w:r>
        <w:rPr/>
        <w:t>号</w:t>
      </w:r>
      <w:r>
        <w:rPr>
          <w:spacing w:val="-159"/>
        </w:rPr>
        <w:t>）</w:t>
      </w:r>
      <w:r>
        <w:rPr>
          <w:spacing w:val="-1"/>
        </w:rPr>
        <w:t>、省司法厅《关于印发〈山东省司</w:t>
      </w:r>
      <w:r>
        <w:rPr>
          <w:spacing w:val="-7"/>
        </w:rPr>
        <w:t>法厅关于行政规范性文件认定的指导意见〉等四个文件的通知》</w:t>
      </w:r>
    </w:p>
    <w:p>
      <w:pPr>
        <w:pStyle w:val="BodyText"/>
        <w:spacing w:line="319" w:lineRule="auto" w:before="9"/>
        <w:ind w:left="106" w:right="388"/>
        <w:jc w:val="both"/>
      </w:pPr>
      <w:r>
        <w:rPr/>
        <w:t>（</w:t>
      </w:r>
      <w:r>
        <w:rPr>
          <w:spacing w:val="1"/>
        </w:rPr>
        <w:t>鲁司〔</w:t>
      </w:r>
      <w:r>
        <w:rPr>
          <w:rFonts w:ascii="Times New Roman" w:eastAsia="Times New Roman"/>
        </w:rPr>
        <w:t>2019</w:t>
      </w:r>
      <w:r>
        <w:rPr/>
        <w:t>〕</w:t>
      </w:r>
      <w:r>
        <w:rPr>
          <w:rFonts w:ascii="Times New Roman" w:eastAsia="Times New Roman"/>
        </w:rPr>
        <w:t>67 </w:t>
      </w:r>
      <w:r>
        <w:rPr/>
        <w:t>号</w:t>
      </w:r>
      <w:r>
        <w:rPr>
          <w:spacing w:val="-154"/>
        </w:rPr>
        <w:t>）</w:t>
      </w:r>
      <w:r>
        <w:rPr>
          <w:spacing w:val="-1"/>
        </w:rPr>
        <w:t>、市政府办公室《关于印发〈济宁市规范</w:t>
      </w:r>
      <w:r>
        <w:rPr>
          <w:spacing w:val="-13"/>
        </w:rPr>
        <w:t>性文件管理办法〉的通知》</w:t>
      </w:r>
      <w:r>
        <w:rPr/>
        <w:t>（济政办发〔</w:t>
      </w:r>
      <w:r>
        <w:rPr>
          <w:rFonts w:ascii="Times New Roman" w:eastAsia="Times New Roman"/>
        </w:rPr>
        <w:t>2019</w:t>
      </w:r>
      <w:r>
        <w:rPr/>
        <w:t>〕</w:t>
      </w:r>
      <w:r>
        <w:rPr>
          <w:rFonts w:ascii="Times New Roman" w:eastAsia="Times New Roman"/>
        </w:rPr>
        <w:t>14 </w:t>
      </w:r>
      <w:r>
        <w:rPr/>
        <w:t>号</w:t>
      </w:r>
      <w:r>
        <w:rPr>
          <w:spacing w:val="7"/>
        </w:rPr>
        <w:t>）</w:t>
      </w:r>
      <w:r>
        <w:rPr>
          <w:spacing w:val="-1"/>
        </w:rPr>
        <w:t>等，结合</w:t>
      </w:r>
      <w:r>
        <w:rPr>
          <w:spacing w:val="-5"/>
        </w:rPr>
        <w:t>本县实际，制定本办法。</w:t>
      </w:r>
    </w:p>
    <w:p>
      <w:pPr>
        <w:pStyle w:val="BodyText"/>
        <w:spacing w:line="319" w:lineRule="auto" w:before="6"/>
        <w:ind w:left="106" w:right="388" w:firstLine="636"/>
        <w:jc w:val="both"/>
      </w:pPr>
      <w:r>
        <w:rPr>
          <w:rFonts w:ascii="文星黑体" w:eastAsia="文星黑体" w:hint="eastAsia"/>
        </w:rPr>
        <w:t>第二条  </w:t>
      </w:r>
      <w:r>
        <w:rPr/>
        <w:t>本办法所称规范性文件，是指除政府规章外，由行政机关或者经法律、法规授权的具有管理公共事务职能的组织</w:t>
      </w:r>
    </w:p>
    <w:p>
      <w:pPr>
        <w:pStyle w:val="BodyText"/>
        <w:spacing w:line="319" w:lineRule="auto" w:before="3"/>
        <w:ind w:left="106" w:right="388"/>
        <w:jc w:val="both"/>
      </w:pPr>
      <w:r>
        <w:rPr/>
        <w:t>（</w:t>
      </w:r>
      <w:r>
        <w:rPr>
          <w:spacing w:val="-4"/>
        </w:rPr>
        <w:t>以下统称行政机关</w:t>
      </w:r>
      <w:r>
        <w:rPr/>
        <w:t>）</w:t>
      </w:r>
      <w:r>
        <w:rPr>
          <w:spacing w:val="-7"/>
        </w:rPr>
        <w:t>依照法定权限、程序制定并公开发布，涉及公民、法人和其他组织权利义务，具有普遍约束力，在一定期</w:t>
      </w:r>
      <w:r>
        <w:rPr>
          <w:spacing w:val="-5"/>
        </w:rPr>
        <w:t>限内反复适用的公文。</w:t>
      </w:r>
    </w:p>
    <w:p>
      <w:pPr>
        <w:pStyle w:val="BodyText"/>
        <w:spacing w:line="319" w:lineRule="auto" w:before="4"/>
        <w:ind w:left="106" w:right="388" w:firstLine="636"/>
        <w:jc w:val="both"/>
      </w:pPr>
      <w:r>
        <w:rPr>
          <w:rFonts w:ascii="文星黑体" w:eastAsia="文星黑体" w:hint="eastAsia"/>
        </w:rPr>
        <w:t>第三条  </w:t>
      </w:r>
      <w:r>
        <w:rPr/>
        <w:t>本县规范性文件的制定和备案及其监督管理适用本办法。</w:t>
      </w:r>
    </w:p>
    <w:p>
      <w:pPr>
        <w:pStyle w:val="BodyText"/>
        <w:spacing w:before="3"/>
        <w:ind w:left="742"/>
        <w:jc w:val="both"/>
      </w:pPr>
      <w:r>
        <w:rPr>
          <w:rFonts w:ascii="文星黑体" w:eastAsia="文星黑体" w:hint="eastAsia"/>
        </w:rPr>
        <w:t>第四条 </w:t>
      </w:r>
      <w:r>
        <w:rPr/>
        <w:t>县司法局负责县政府规范性文件的合法性审核工</w:t>
      </w:r>
    </w:p>
    <w:p>
      <w:pPr>
        <w:pStyle w:val="BodyText"/>
        <w:spacing w:before="145"/>
        <w:ind w:left="106"/>
      </w:pPr>
      <w:r>
        <w:rPr/>
        <w:t>作。</w:t>
      </w:r>
    </w:p>
    <w:p>
      <w:pPr>
        <w:spacing w:before="115"/>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２</w:t>
      </w:r>
      <w:r>
        <w:rPr>
          <w:rFonts w:ascii="新宋体" w:eastAsia="新宋体" w:hint="eastAsia"/>
          <w:spacing w:val="-71"/>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line="307" w:lineRule="auto" w:before="49"/>
        <w:ind w:left="106" w:right="385" w:firstLine="636"/>
        <w:jc w:val="both"/>
      </w:pPr>
      <w:r>
        <w:rPr>
          <w:spacing w:val="-2"/>
        </w:rPr>
        <w:t>各乡镇政府</w:t>
      </w:r>
      <w:r>
        <w:rPr>
          <w:spacing w:val="-5"/>
        </w:rPr>
        <w:t>（</w:t>
      </w:r>
      <w:r>
        <w:rPr>
          <w:spacing w:val="-3"/>
        </w:rPr>
        <w:t>街道办事处</w:t>
      </w:r>
      <w:r>
        <w:rPr>
          <w:spacing w:val="-5"/>
        </w:rPr>
        <w:t>）和县政府各部门单位，应当在单位内部确定具体承担规范性文件合法性审核工作的机构</w:t>
      </w:r>
      <w:r>
        <w:rPr/>
        <w:t>（</w:t>
      </w:r>
      <w:r>
        <w:rPr>
          <w:spacing w:val="-1"/>
        </w:rPr>
        <w:t>以下统</w:t>
      </w:r>
      <w:r>
        <w:rPr>
          <w:spacing w:val="-3"/>
        </w:rPr>
        <w:t>称审核机构</w:t>
      </w:r>
      <w:r>
        <w:rPr>
          <w:spacing w:val="-166"/>
        </w:rPr>
        <w:t>）</w:t>
      </w:r>
      <w:r>
        <w:rPr/>
        <w:t>。</w:t>
      </w:r>
    </w:p>
    <w:p>
      <w:pPr>
        <w:pStyle w:val="BodyText"/>
        <w:spacing w:before="12"/>
        <w:rPr>
          <w:sz w:val="39"/>
        </w:rPr>
      </w:pPr>
    </w:p>
    <w:p>
      <w:pPr>
        <w:pStyle w:val="BodyText"/>
        <w:tabs>
          <w:tab w:pos="1257" w:val="left" w:leader="none"/>
        </w:tabs>
        <w:spacing w:before="1"/>
        <w:ind w:right="291"/>
        <w:jc w:val="center"/>
        <w:rPr>
          <w:rFonts w:ascii="文星黑体" w:eastAsia="文星黑体" w:hint="eastAsia"/>
        </w:rPr>
      </w:pPr>
      <w:r>
        <w:rPr>
          <w:rFonts w:ascii="文星黑体" w:eastAsia="文星黑体" w:hint="eastAsia"/>
        </w:rPr>
        <w:t>第</w:t>
      </w:r>
      <w:r>
        <w:rPr>
          <w:rFonts w:ascii="文星黑体" w:eastAsia="文星黑体" w:hint="eastAsia"/>
          <w:spacing w:val="-5"/>
        </w:rPr>
        <w:t>二</w:t>
      </w:r>
      <w:r>
        <w:rPr>
          <w:rFonts w:ascii="文星黑体" w:eastAsia="文星黑体" w:hint="eastAsia"/>
        </w:rPr>
        <w:t>章</w:t>
        <w:tab/>
        <w:t>制</w:t>
      </w:r>
      <w:r>
        <w:rPr>
          <w:rFonts w:ascii="文星黑体" w:eastAsia="文星黑体" w:hint="eastAsia"/>
          <w:spacing w:val="-5"/>
        </w:rPr>
        <w:t>定</w:t>
      </w:r>
      <w:r>
        <w:rPr>
          <w:rFonts w:ascii="文星黑体" w:eastAsia="文星黑体" w:hint="eastAsia"/>
        </w:rPr>
        <w:t>主</w:t>
      </w:r>
      <w:r>
        <w:rPr>
          <w:rFonts w:ascii="文星黑体" w:eastAsia="文星黑体" w:hint="eastAsia"/>
          <w:spacing w:val="-5"/>
        </w:rPr>
        <w:t>体</w:t>
      </w:r>
      <w:r>
        <w:rPr>
          <w:rFonts w:ascii="文星黑体" w:eastAsia="文星黑体" w:hint="eastAsia"/>
        </w:rPr>
        <w:t>和</w:t>
      </w:r>
      <w:r>
        <w:rPr>
          <w:rFonts w:ascii="文星黑体" w:eastAsia="文星黑体" w:hint="eastAsia"/>
          <w:spacing w:val="-5"/>
        </w:rPr>
        <w:t>权</w:t>
      </w:r>
      <w:r>
        <w:rPr>
          <w:rFonts w:ascii="文星黑体" w:eastAsia="文星黑体" w:hint="eastAsia"/>
        </w:rPr>
        <w:t>限</w:t>
      </w:r>
    </w:p>
    <w:p>
      <w:pPr>
        <w:pStyle w:val="BodyText"/>
        <w:spacing w:before="6"/>
        <w:rPr>
          <w:rFonts w:ascii="文星黑体"/>
          <w:sz w:val="48"/>
        </w:rPr>
      </w:pPr>
    </w:p>
    <w:p>
      <w:pPr>
        <w:pStyle w:val="BodyText"/>
        <w:tabs>
          <w:tab w:pos="1999" w:val="left" w:leader="none"/>
        </w:tabs>
        <w:ind w:left="742"/>
      </w:pPr>
      <w:r>
        <w:rPr>
          <w:rFonts w:ascii="文星黑体" w:eastAsia="文星黑体" w:hint="eastAsia"/>
        </w:rPr>
        <w:t>第五条</w:t>
        <w:tab/>
      </w:r>
      <w:r>
        <w:rPr/>
        <w:t>规</w:t>
      </w:r>
      <w:r>
        <w:rPr>
          <w:spacing w:val="-5"/>
        </w:rPr>
        <w:t>范</w:t>
      </w:r>
      <w:r>
        <w:rPr/>
        <w:t>性</w:t>
      </w:r>
      <w:r>
        <w:rPr>
          <w:spacing w:val="-5"/>
        </w:rPr>
        <w:t>文</w:t>
      </w:r>
      <w:r>
        <w:rPr/>
        <w:t>件</w:t>
      </w:r>
      <w:r>
        <w:rPr>
          <w:spacing w:val="-5"/>
        </w:rPr>
        <w:t>的</w:t>
      </w:r>
      <w:r>
        <w:rPr/>
        <w:t>制</w:t>
      </w:r>
      <w:r>
        <w:rPr>
          <w:spacing w:val="-5"/>
        </w:rPr>
        <w:t>定</w:t>
      </w:r>
      <w:r>
        <w:rPr/>
        <w:t>主</w:t>
      </w:r>
      <w:r>
        <w:rPr>
          <w:spacing w:val="-5"/>
        </w:rPr>
        <w:t>体</w:t>
      </w:r>
      <w:r>
        <w:rPr/>
        <w:t>包</w:t>
      </w:r>
      <w:r>
        <w:rPr>
          <w:spacing w:val="-5"/>
        </w:rPr>
        <w:t>括</w:t>
      </w:r>
      <w:r>
        <w:rPr/>
        <w:t>：</w:t>
      </w:r>
    </w:p>
    <w:p>
      <w:pPr>
        <w:pStyle w:val="BodyText"/>
        <w:spacing w:before="121"/>
        <w:ind w:left="742"/>
      </w:pPr>
      <w:r>
        <w:rPr/>
        <w:t>（一）县、乡（镇）人民政府；</w:t>
      </w:r>
    </w:p>
    <w:p>
      <w:pPr>
        <w:pStyle w:val="BodyText"/>
        <w:spacing w:before="123"/>
        <w:ind w:left="742"/>
      </w:pPr>
      <w:r>
        <w:rPr/>
        <w:t>（二）县政府办公室；</w:t>
      </w:r>
    </w:p>
    <w:p>
      <w:pPr>
        <w:pStyle w:val="BodyText"/>
        <w:spacing w:before="121"/>
        <w:ind w:left="742"/>
      </w:pPr>
      <w:r>
        <w:rPr/>
        <w:t>（三）县政府工作部门；</w:t>
      </w:r>
    </w:p>
    <w:p>
      <w:pPr>
        <w:pStyle w:val="BodyText"/>
        <w:spacing w:before="123"/>
        <w:ind w:left="742"/>
      </w:pPr>
      <w:r>
        <w:rPr/>
        <w:t>（四）县政府的派出机关和派出机构；</w:t>
      </w:r>
    </w:p>
    <w:p>
      <w:pPr>
        <w:pStyle w:val="BodyText"/>
        <w:spacing w:before="121"/>
        <w:ind w:left="742"/>
      </w:pPr>
      <w:r>
        <w:rPr/>
        <w:t>（五）县政府依法赋予行政管理职能的事业单位；</w:t>
      </w:r>
    </w:p>
    <w:p>
      <w:pPr>
        <w:pStyle w:val="BodyText"/>
        <w:spacing w:before="123"/>
        <w:ind w:left="742"/>
      </w:pPr>
      <w:r>
        <w:rPr/>
        <w:t>（六）法律、法规授权的具有管理公共事务职能的组织。</w:t>
      </w:r>
    </w:p>
    <w:p>
      <w:pPr>
        <w:pStyle w:val="BodyText"/>
        <w:tabs>
          <w:tab w:pos="1999" w:val="left" w:leader="none"/>
        </w:tabs>
        <w:spacing w:before="121"/>
        <w:ind w:left="742"/>
      </w:pPr>
      <w:r>
        <w:rPr>
          <w:rFonts w:ascii="文星黑体" w:eastAsia="文星黑体" w:hint="eastAsia"/>
        </w:rPr>
        <w:t>第六条</w:t>
        <w:tab/>
      </w:r>
      <w:r>
        <w:rPr/>
        <w:t>规</w:t>
      </w:r>
      <w:r>
        <w:rPr>
          <w:spacing w:val="-5"/>
        </w:rPr>
        <w:t>范</w:t>
      </w:r>
      <w:r>
        <w:rPr/>
        <w:t>性</w:t>
      </w:r>
      <w:r>
        <w:rPr>
          <w:spacing w:val="-5"/>
        </w:rPr>
        <w:t>文</w:t>
      </w:r>
      <w:r>
        <w:rPr/>
        <w:t>件</w:t>
      </w:r>
      <w:r>
        <w:rPr>
          <w:spacing w:val="-5"/>
        </w:rPr>
        <w:t>的</w:t>
      </w:r>
      <w:r>
        <w:rPr/>
        <w:t>制</w:t>
      </w:r>
      <w:r>
        <w:rPr>
          <w:spacing w:val="-5"/>
        </w:rPr>
        <w:t>定</w:t>
      </w:r>
      <w:r>
        <w:rPr/>
        <w:t>主</w:t>
      </w:r>
      <w:r>
        <w:rPr>
          <w:spacing w:val="-5"/>
        </w:rPr>
        <w:t>体</w:t>
      </w:r>
      <w:r>
        <w:rPr/>
        <w:t>不</w:t>
      </w:r>
      <w:r>
        <w:rPr>
          <w:spacing w:val="-5"/>
        </w:rPr>
        <w:t>包</w:t>
      </w:r>
      <w:r>
        <w:rPr/>
        <w:t>括</w:t>
      </w:r>
      <w:r>
        <w:rPr>
          <w:spacing w:val="-8"/>
        </w:rPr>
        <w:t>下</w:t>
      </w:r>
      <w:r>
        <w:rPr/>
        <w:t>列</w:t>
      </w:r>
      <w:r>
        <w:rPr>
          <w:spacing w:val="-5"/>
        </w:rPr>
        <w:t>机</w:t>
      </w:r>
      <w:r>
        <w:rPr/>
        <w:t>构：</w:t>
      </w:r>
    </w:p>
    <w:p>
      <w:pPr>
        <w:pStyle w:val="BodyText"/>
        <w:spacing w:before="124"/>
        <w:ind w:left="742"/>
      </w:pPr>
      <w:r>
        <w:rPr/>
        <w:t>（一）临时机构；</w:t>
      </w:r>
    </w:p>
    <w:p>
      <w:pPr>
        <w:pStyle w:val="BodyText"/>
        <w:spacing w:before="121"/>
        <w:ind w:left="742"/>
      </w:pPr>
      <w:r>
        <w:rPr/>
        <w:t>（二）议事协调机构；</w:t>
      </w:r>
    </w:p>
    <w:p>
      <w:pPr>
        <w:pStyle w:val="BodyText"/>
        <w:spacing w:before="123"/>
        <w:ind w:left="742"/>
      </w:pPr>
      <w:r>
        <w:rPr/>
        <w:t>（三）政府工作部门的派出机构；</w:t>
      </w:r>
    </w:p>
    <w:p>
      <w:pPr>
        <w:pStyle w:val="BodyText"/>
        <w:spacing w:before="121"/>
        <w:ind w:left="742"/>
      </w:pPr>
      <w:r>
        <w:rPr/>
        <w:t>（四）部门内设机构。</w:t>
      </w:r>
    </w:p>
    <w:p>
      <w:pPr>
        <w:pStyle w:val="BodyText"/>
        <w:spacing w:before="6"/>
        <w:rPr>
          <w:sz w:val="48"/>
        </w:rPr>
      </w:pPr>
    </w:p>
    <w:p>
      <w:pPr>
        <w:pStyle w:val="BodyText"/>
        <w:tabs>
          <w:tab w:pos="1257" w:val="left" w:leader="none"/>
          <w:tab w:pos="1888" w:val="left" w:leader="none"/>
        </w:tabs>
        <w:ind w:right="291"/>
        <w:jc w:val="center"/>
        <w:rPr>
          <w:rFonts w:ascii="文星黑体" w:eastAsia="文星黑体" w:hint="eastAsia"/>
        </w:rPr>
      </w:pPr>
      <w:r>
        <w:rPr>
          <w:rFonts w:ascii="文星黑体" w:eastAsia="文星黑体" w:hint="eastAsia"/>
        </w:rPr>
        <w:t>第</w:t>
      </w:r>
      <w:r>
        <w:rPr>
          <w:rFonts w:ascii="文星黑体" w:eastAsia="文星黑体" w:hint="eastAsia"/>
          <w:spacing w:val="-5"/>
        </w:rPr>
        <w:t>三</w:t>
      </w:r>
      <w:r>
        <w:rPr>
          <w:rFonts w:ascii="文星黑体" w:eastAsia="文星黑体" w:hint="eastAsia"/>
        </w:rPr>
        <w:t>章</w:t>
        <w:tab/>
        <w:t>起</w:t>
        <w:tab/>
        <w:t>草</w:t>
      </w:r>
    </w:p>
    <w:p>
      <w:pPr>
        <w:pStyle w:val="BodyText"/>
        <w:spacing w:before="6"/>
        <w:rPr>
          <w:rFonts w:ascii="文星黑体"/>
          <w:sz w:val="48"/>
        </w:rPr>
      </w:pPr>
    </w:p>
    <w:p>
      <w:pPr>
        <w:pStyle w:val="BodyText"/>
        <w:spacing w:line="307" w:lineRule="auto" w:before="1"/>
        <w:ind w:left="106" w:right="388" w:firstLine="636"/>
        <w:jc w:val="both"/>
      </w:pPr>
      <w:r>
        <w:rPr>
          <w:rFonts w:ascii="文星黑体" w:eastAsia="文星黑体" w:hint="eastAsia"/>
          <w:spacing w:val="2"/>
        </w:rPr>
        <w:t>第七条  </w:t>
      </w:r>
      <w:r>
        <w:rPr>
          <w:spacing w:val="-5"/>
        </w:rPr>
        <w:t>起草规范性文件，应当对制定规范性文件的必要性</w:t>
      </w:r>
      <w:r>
        <w:rPr>
          <w:spacing w:val="-7"/>
        </w:rPr>
        <w:t>和可行性进行研究，并对规范性文件涉及的社会管理领域现状，</w:t>
      </w:r>
    </w:p>
    <w:p>
      <w:pPr>
        <w:spacing w:before="62"/>
        <w:ind w:left="0" w:right="39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３</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line="307" w:lineRule="auto" w:before="49"/>
        <w:ind w:left="106" w:right="388"/>
      </w:pPr>
      <w:r>
        <w:rPr>
          <w:spacing w:val="-7"/>
        </w:rPr>
        <w:t>所要解决的问题，拟设定的主要政策、措施或者制度的合法性和</w:t>
      </w:r>
      <w:r>
        <w:rPr>
          <w:spacing w:val="-5"/>
        </w:rPr>
        <w:t>合理性等内容进行调研论证。</w:t>
      </w:r>
    </w:p>
    <w:p>
      <w:pPr>
        <w:pStyle w:val="BodyText"/>
        <w:spacing w:line="307" w:lineRule="auto" w:before="2"/>
        <w:ind w:left="106" w:right="388" w:firstLine="636"/>
        <w:jc w:val="both"/>
      </w:pPr>
      <w:r>
        <w:rPr>
          <w:rFonts w:ascii="文星黑体" w:eastAsia="文星黑体" w:hint="eastAsia"/>
          <w:spacing w:val="2"/>
        </w:rPr>
        <w:t>第八条  </w:t>
      </w:r>
      <w:r>
        <w:rPr>
          <w:spacing w:val="-5"/>
        </w:rPr>
        <w:t>起草规范性文件，应当听取有关机关、组织和管理</w:t>
      </w:r>
      <w:r>
        <w:rPr>
          <w:spacing w:val="-7"/>
        </w:rPr>
        <w:t>相对人、专家等的意见。听取意见可以采取书面征求意见、召开座谈会、论证会、听证会和公开征求社会公众意见等方式。</w:t>
      </w:r>
    </w:p>
    <w:p>
      <w:pPr>
        <w:pStyle w:val="BodyText"/>
        <w:spacing w:line="307" w:lineRule="auto" w:before="1"/>
        <w:ind w:left="106" w:right="388" w:firstLine="636"/>
        <w:jc w:val="both"/>
      </w:pPr>
      <w:r>
        <w:rPr>
          <w:rFonts w:ascii="文星黑体" w:eastAsia="文星黑体" w:hint="eastAsia"/>
          <w:spacing w:val="2"/>
        </w:rPr>
        <w:t>第九条  </w:t>
      </w:r>
      <w:r>
        <w:rPr>
          <w:spacing w:val="-5"/>
        </w:rPr>
        <w:t>对公民、法人和其他组织权利义务有重大影响、涉</w:t>
      </w:r>
      <w:r>
        <w:rPr>
          <w:spacing w:val="-7"/>
        </w:rPr>
        <w:t>及人民群众切身利益的规范性文件，在向社会公开征求意见时， </w:t>
      </w:r>
      <w:r>
        <w:rPr>
          <w:spacing w:val="-14"/>
        </w:rPr>
        <w:t>期限一般不少于 </w:t>
      </w:r>
      <w:r>
        <w:rPr>
          <w:rFonts w:ascii="Times New Roman" w:eastAsia="Times New Roman"/>
        </w:rPr>
        <w:t>7</w:t>
      </w:r>
      <w:r>
        <w:rPr>
          <w:rFonts w:ascii="Times New Roman" w:eastAsia="Times New Roman"/>
          <w:spacing w:val="2"/>
        </w:rPr>
        <w:t> </w:t>
      </w:r>
      <w:r>
        <w:rPr>
          <w:spacing w:val="-3"/>
        </w:rPr>
        <w:t>个工作日。</w:t>
      </w:r>
    </w:p>
    <w:p>
      <w:pPr>
        <w:pStyle w:val="BodyText"/>
        <w:spacing w:line="307" w:lineRule="auto" w:before="3"/>
        <w:ind w:left="106" w:right="385" w:firstLine="636"/>
      </w:pPr>
      <w:r>
        <w:rPr>
          <w:spacing w:val="-6"/>
        </w:rPr>
        <w:t>在制定与企业生产经营活动密切相关的规范性文件过程中， 应当充分听取企业和行业协会商会意见。</w:t>
      </w:r>
    </w:p>
    <w:p>
      <w:pPr>
        <w:pStyle w:val="BodyText"/>
        <w:spacing w:line="307" w:lineRule="auto" w:before="1"/>
        <w:ind w:left="106" w:right="388" w:firstLine="636"/>
        <w:jc w:val="both"/>
      </w:pPr>
      <w:r>
        <w:rPr>
          <w:rFonts w:ascii="文星黑体" w:eastAsia="文星黑体" w:hint="eastAsia"/>
          <w:spacing w:val="2"/>
        </w:rPr>
        <w:t>第十条  </w:t>
      </w:r>
      <w:r>
        <w:rPr>
          <w:spacing w:val="-5"/>
        </w:rPr>
        <w:t>公民、法人或者其他组织对规范性文件草案内容提</w:t>
      </w:r>
      <w:r>
        <w:rPr>
          <w:spacing w:val="-7"/>
        </w:rPr>
        <w:t>出意见和建议的，起草部门应当予以研究处理，并在起草说明中</w:t>
      </w:r>
      <w:r>
        <w:rPr>
          <w:spacing w:val="-2"/>
        </w:rPr>
        <w:t>载明。</w:t>
      </w:r>
    </w:p>
    <w:p>
      <w:pPr>
        <w:pStyle w:val="BodyText"/>
        <w:spacing w:before="12"/>
        <w:rPr>
          <w:sz w:val="39"/>
        </w:rPr>
      </w:pPr>
    </w:p>
    <w:p>
      <w:pPr>
        <w:pStyle w:val="BodyText"/>
        <w:tabs>
          <w:tab w:pos="1257" w:val="left" w:leader="none"/>
        </w:tabs>
        <w:spacing w:before="1"/>
        <w:ind w:right="286"/>
        <w:jc w:val="center"/>
        <w:rPr>
          <w:rFonts w:ascii="文星黑体" w:eastAsia="文星黑体" w:hint="eastAsia"/>
        </w:rPr>
      </w:pPr>
      <w:r>
        <w:rPr>
          <w:rFonts w:ascii="文星黑体" w:eastAsia="文星黑体" w:hint="eastAsia"/>
        </w:rPr>
        <w:t>第</w:t>
      </w:r>
      <w:r>
        <w:rPr>
          <w:rFonts w:ascii="文星黑体" w:eastAsia="文星黑体" w:hint="eastAsia"/>
          <w:spacing w:val="-5"/>
        </w:rPr>
        <w:t>四</w:t>
      </w:r>
      <w:r>
        <w:rPr>
          <w:rFonts w:ascii="文星黑体" w:eastAsia="文星黑体" w:hint="eastAsia"/>
        </w:rPr>
        <w:t>章</w:t>
        <w:tab/>
        <w:t>合</w:t>
      </w:r>
      <w:r>
        <w:rPr>
          <w:rFonts w:ascii="文星黑体" w:eastAsia="文星黑体" w:hint="eastAsia"/>
          <w:spacing w:val="-5"/>
        </w:rPr>
        <w:t>法</w:t>
      </w:r>
      <w:r>
        <w:rPr>
          <w:rFonts w:ascii="文星黑体" w:eastAsia="文星黑体" w:hint="eastAsia"/>
        </w:rPr>
        <w:t>性</w:t>
      </w:r>
      <w:r>
        <w:rPr>
          <w:rFonts w:ascii="文星黑体" w:eastAsia="文星黑体" w:hint="eastAsia"/>
          <w:spacing w:val="-5"/>
        </w:rPr>
        <w:t>审</w:t>
      </w:r>
      <w:r>
        <w:rPr>
          <w:rFonts w:ascii="文星黑体" w:eastAsia="文星黑体" w:hint="eastAsia"/>
        </w:rPr>
        <w:t>核</w:t>
      </w:r>
    </w:p>
    <w:p>
      <w:pPr>
        <w:pStyle w:val="BodyText"/>
        <w:spacing w:before="6"/>
        <w:rPr>
          <w:rFonts w:ascii="文星黑体"/>
          <w:sz w:val="48"/>
        </w:rPr>
      </w:pPr>
    </w:p>
    <w:p>
      <w:pPr>
        <w:pStyle w:val="BodyText"/>
        <w:tabs>
          <w:tab w:pos="2311" w:val="left" w:leader="none"/>
        </w:tabs>
        <w:spacing w:line="307" w:lineRule="auto"/>
        <w:ind w:left="106" w:right="393" w:firstLine="636"/>
      </w:pPr>
      <w:r>
        <w:rPr>
          <w:rFonts w:ascii="文星黑体" w:eastAsia="文星黑体" w:hint="eastAsia"/>
        </w:rPr>
        <w:t>第</w:t>
      </w:r>
      <w:r>
        <w:rPr>
          <w:rFonts w:ascii="文星黑体" w:eastAsia="文星黑体" w:hint="eastAsia"/>
          <w:spacing w:val="-5"/>
        </w:rPr>
        <w:t>十</w:t>
      </w:r>
      <w:r>
        <w:rPr>
          <w:rFonts w:ascii="文星黑体" w:eastAsia="文星黑体" w:hint="eastAsia"/>
        </w:rPr>
        <w:t>一条</w:t>
        <w:tab/>
      </w:r>
      <w:r>
        <w:rPr/>
        <w:t>起</w:t>
      </w:r>
      <w:r>
        <w:rPr>
          <w:spacing w:val="-5"/>
        </w:rPr>
        <w:t>草</w:t>
      </w:r>
      <w:r>
        <w:rPr/>
        <w:t>部门将</w:t>
      </w:r>
      <w:r>
        <w:rPr>
          <w:spacing w:val="-5"/>
        </w:rPr>
        <w:t>县</w:t>
      </w:r>
      <w:r>
        <w:rPr/>
        <w:t>政府</w:t>
      </w:r>
      <w:r>
        <w:rPr>
          <w:spacing w:val="-8"/>
        </w:rPr>
        <w:t>规</w:t>
      </w:r>
      <w:r>
        <w:rPr/>
        <w:t>范性</w:t>
      </w:r>
      <w:r>
        <w:rPr>
          <w:spacing w:val="-5"/>
        </w:rPr>
        <w:t>文</w:t>
      </w:r>
      <w:r>
        <w:rPr/>
        <w:t>件送审</w:t>
      </w:r>
      <w:r>
        <w:rPr>
          <w:spacing w:val="-5"/>
        </w:rPr>
        <w:t>稿</w:t>
      </w:r>
      <w:r>
        <w:rPr/>
        <w:t>报送</w:t>
      </w:r>
      <w:r>
        <w:rPr>
          <w:spacing w:val="-5"/>
        </w:rPr>
        <w:t>县</w:t>
      </w:r>
      <w:r>
        <w:rPr>
          <w:spacing w:val="7"/>
        </w:rPr>
        <w:t>司</w:t>
      </w:r>
      <w:r>
        <w:rPr>
          <w:spacing w:val="-14"/>
        </w:rPr>
        <w:t>法</w:t>
      </w:r>
      <w:r>
        <w:rPr/>
        <w:t>局</w:t>
      </w:r>
      <w:r>
        <w:rPr>
          <w:spacing w:val="-5"/>
        </w:rPr>
        <w:t>进</w:t>
      </w:r>
      <w:r>
        <w:rPr/>
        <w:t>行</w:t>
      </w:r>
      <w:r>
        <w:rPr>
          <w:spacing w:val="-5"/>
        </w:rPr>
        <w:t>合</w:t>
      </w:r>
      <w:r>
        <w:rPr/>
        <w:t>法</w:t>
      </w:r>
      <w:r>
        <w:rPr>
          <w:spacing w:val="-5"/>
        </w:rPr>
        <w:t>性</w:t>
      </w:r>
      <w:r>
        <w:rPr/>
        <w:t>审</w:t>
      </w:r>
      <w:r>
        <w:rPr>
          <w:spacing w:val="-5"/>
        </w:rPr>
        <w:t>核</w:t>
      </w:r>
      <w:r>
        <w:rPr/>
        <w:t>时</w:t>
      </w:r>
      <w:r>
        <w:rPr>
          <w:spacing w:val="-5"/>
        </w:rPr>
        <w:t>，</w:t>
      </w:r>
      <w:r>
        <w:rPr/>
        <w:t>应</w:t>
      </w:r>
      <w:r>
        <w:rPr>
          <w:spacing w:val="-5"/>
        </w:rPr>
        <w:t>当</w:t>
      </w:r>
      <w:r>
        <w:rPr/>
        <w:t>提</w:t>
      </w:r>
      <w:r>
        <w:rPr>
          <w:spacing w:val="-8"/>
        </w:rPr>
        <w:t>交</w:t>
      </w:r>
      <w:r>
        <w:rPr/>
        <w:t>下</w:t>
      </w:r>
      <w:r>
        <w:rPr>
          <w:spacing w:val="-5"/>
        </w:rPr>
        <w:t>列</w:t>
      </w:r>
      <w:r>
        <w:rPr/>
        <w:t>材</w:t>
      </w:r>
      <w:r>
        <w:rPr>
          <w:spacing w:val="-5"/>
        </w:rPr>
        <w:t>料</w:t>
      </w:r>
      <w:r>
        <w:rPr/>
        <w:t>：</w:t>
      </w:r>
    </w:p>
    <w:p>
      <w:pPr>
        <w:pStyle w:val="BodyText"/>
        <w:spacing w:before="1"/>
        <w:ind w:left="742"/>
      </w:pPr>
      <w:r>
        <w:rPr/>
        <w:t>（一）送审申请书；</w:t>
      </w:r>
    </w:p>
    <w:p>
      <w:pPr>
        <w:pStyle w:val="BodyText"/>
        <w:spacing w:before="121"/>
        <w:ind w:left="742"/>
      </w:pPr>
      <w:r>
        <w:rPr/>
        <w:t>（二）规范性文件纸质清样文本；</w:t>
      </w:r>
    </w:p>
    <w:p>
      <w:pPr>
        <w:pStyle w:val="BodyText"/>
        <w:spacing w:line="307" w:lineRule="auto" w:before="124"/>
        <w:ind w:left="106" w:right="385" w:firstLine="636"/>
      </w:pPr>
      <w:r>
        <w:rPr/>
        <w:t>（</w:t>
      </w:r>
      <w:r>
        <w:rPr>
          <w:spacing w:val="-5"/>
        </w:rPr>
        <w:t>三</w:t>
      </w:r>
      <w:r>
        <w:rPr/>
        <w:t>）</w:t>
      </w:r>
      <w:r>
        <w:rPr>
          <w:spacing w:val="-6"/>
        </w:rPr>
        <w:t>包含制定背景、起草过程、必要性可行性合理性评估论证及集体研究讨论等情况的起草说明；</w:t>
      </w:r>
    </w:p>
    <w:p>
      <w:pPr>
        <w:pStyle w:val="BodyText"/>
        <w:spacing w:before="1"/>
        <w:ind w:left="742"/>
      </w:pPr>
      <w:r>
        <w:rPr/>
        <w:t>（四）依据的法律、法规、规章和国家、省、市政策文件的</w:t>
      </w:r>
    </w:p>
    <w:p>
      <w:pPr>
        <w:spacing w:before="182"/>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４</w:t>
      </w:r>
      <w:r>
        <w:rPr>
          <w:rFonts w:ascii="新宋体" w:eastAsia="新宋体" w:hint="eastAsia"/>
          <w:spacing w:val="-71"/>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before="49"/>
        <w:ind w:left="106"/>
      </w:pPr>
      <w:r>
        <w:rPr/>
        <w:t>目录及文本；</w:t>
      </w:r>
    </w:p>
    <w:p>
      <w:pPr>
        <w:pStyle w:val="BodyText"/>
        <w:spacing w:before="121"/>
        <w:ind w:left="742"/>
      </w:pPr>
      <w:r>
        <w:rPr/>
        <w:t>（五）起草部门审核机构合法性审核意见；</w:t>
      </w:r>
    </w:p>
    <w:p>
      <w:pPr>
        <w:pStyle w:val="BodyText"/>
        <w:spacing w:before="123"/>
        <w:ind w:left="742"/>
      </w:pPr>
      <w:r>
        <w:rPr/>
        <w:t>（六）听取公众意见及意见采纳情况的书面记录；</w:t>
      </w:r>
    </w:p>
    <w:p>
      <w:pPr>
        <w:pStyle w:val="BodyText"/>
        <w:spacing w:before="121"/>
        <w:ind w:left="742"/>
      </w:pPr>
      <w:r>
        <w:rPr/>
        <w:t>（七）进行合法性审核需要的其他材料。</w:t>
      </w:r>
    </w:p>
    <w:p>
      <w:pPr>
        <w:pStyle w:val="BodyText"/>
        <w:spacing w:line="307" w:lineRule="auto" w:before="124"/>
        <w:ind w:left="106" w:right="388" w:firstLine="636"/>
        <w:jc w:val="both"/>
        <w:rPr>
          <w:rFonts w:ascii="Times New Roman" w:eastAsia="Times New Roman"/>
        </w:rPr>
      </w:pPr>
      <w:r>
        <w:rPr>
          <w:rFonts w:ascii="文星黑体" w:eastAsia="文星黑体" w:hint="eastAsia"/>
        </w:rPr>
        <w:t>第十二条  </w:t>
      </w:r>
      <w:r>
        <w:rPr>
          <w:spacing w:val="-5"/>
        </w:rPr>
        <w:t>起草部门报县司法局进行合法性审核时，除提交</w:t>
      </w:r>
      <w:r>
        <w:rPr>
          <w:spacing w:val="-7"/>
        </w:rPr>
        <w:t>本办法第十一条规定的材料外，还应当根据不同情形提交下列材</w:t>
      </w:r>
      <w:r>
        <w:rPr>
          <w:spacing w:val="74"/>
        </w:rPr>
        <w:t>料</w:t>
      </w:r>
      <w:r>
        <w:rPr>
          <w:rFonts w:ascii="Times New Roman" w:eastAsia="Times New Roman"/>
        </w:rPr>
        <w:t>:</w:t>
      </w:r>
    </w:p>
    <w:p>
      <w:pPr>
        <w:pStyle w:val="BodyText"/>
        <w:ind w:left="742"/>
      </w:pPr>
      <w:r>
        <w:rPr/>
        <w:t>（一）按规定需要专家论证的，提交专家论证情况的书面记</w:t>
      </w:r>
    </w:p>
    <w:p>
      <w:pPr>
        <w:pStyle w:val="BodyText"/>
        <w:spacing w:before="124"/>
        <w:ind w:left="106"/>
      </w:pPr>
      <w:r>
        <w:rPr/>
        <w:t>录；</w:t>
      </w:r>
    </w:p>
    <w:p>
      <w:pPr>
        <w:pStyle w:val="BodyText"/>
        <w:spacing w:before="121"/>
        <w:ind w:left="742"/>
      </w:pPr>
      <w:r>
        <w:rPr/>
        <w:t>（</w:t>
      </w:r>
      <w:r>
        <w:rPr>
          <w:spacing w:val="-5"/>
        </w:rPr>
        <w:t>二</w:t>
      </w:r>
      <w:r>
        <w:rPr/>
        <w:t>）</w:t>
      </w:r>
      <w:r>
        <w:rPr>
          <w:spacing w:val="-7"/>
        </w:rPr>
        <w:t>按规定需要组织听证的，提交听证情况的书面记录；</w:t>
      </w:r>
    </w:p>
    <w:p>
      <w:pPr>
        <w:pStyle w:val="BodyText"/>
        <w:spacing w:before="123"/>
        <w:ind w:left="742"/>
      </w:pPr>
      <w:r>
        <w:rPr/>
        <w:t>（</w:t>
      </w:r>
      <w:r>
        <w:rPr>
          <w:spacing w:val="-5"/>
        </w:rPr>
        <w:t>三</w:t>
      </w:r>
      <w:r>
        <w:rPr/>
        <w:t>）</w:t>
      </w:r>
      <w:r>
        <w:rPr>
          <w:spacing w:val="-7"/>
        </w:rPr>
        <w:t>按规定需要部门会签的，提交有关部门的会签意见；</w:t>
      </w:r>
    </w:p>
    <w:p>
      <w:pPr>
        <w:pStyle w:val="BodyText"/>
        <w:spacing w:before="121"/>
        <w:ind w:left="742"/>
      </w:pPr>
      <w:r>
        <w:rPr/>
        <w:t>（</w:t>
      </w:r>
      <w:r>
        <w:rPr>
          <w:spacing w:val="-5"/>
        </w:rPr>
        <w:t>四</w:t>
      </w:r>
      <w:r>
        <w:rPr/>
        <w:t>）</w:t>
      </w:r>
      <w:r>
        <w:rPr>
          <w:spacing w:val="-5"/>
        </w:rPr>
        <w:t>按规定需要听取有代表性的企业和行业协会商会以及</w:t>
      </w:r>
    </w:p>
    <w:p>
      <w:pPr>
        <w:pStyle w:val="BodyText"/>
        <w:spacing w:before="123"/>
        <w:ind w:left="106"/>
      </w:pPr>
      <w:r>
        <w:rPr/>
        <w:t>律师协会意见的，提交听取意见的书面记录；</w:t>
      </w:r>
    </w:p>
    <w:p>
      <w:pPr>
        <w:pStyle w:val="BodyText"/>
        <w:spacing w:line="307" w:lineRule="auto" w:before="121"/>
        <w:ind w:left="106" w:right="385" w:firstLine="636"/>
      </w:pPr>
      <w:r>
        <w:rPr/>
        <w:t>（五）按规定需要进行公平竞争审查的，提交公平竞争审查的书面结论。</w:t>
      </w:r>
    </w:p>
    <w:p>
      <w:pPr>
        <w:pStyle w:val="BodyText"/>
        <w:spacing w:line="307" w:lineRule="auto" w:before="1"/>
        <w:ind w:left="106" w:right="388" w:firstLine="636"/>
        <w:jc w:val="both"/>
      </w:pPr>
      <w:r>
        <w:rPr>
          <w:rFonts w:ascii="文星黑体" w:eastAsia="文星黑体" w:hint="eastAsia"/>
        </w:rPr>
        <w:t>第十三条  </w:t>
      </w:r>
      <w:r>
        <w:rPr>
          <w:spacing w:val="-5"/>
        </w:rPr>
        <w:t>县司法局对符合规定的县政府规范性文件送审材</w:t>
      </w:r>
      <w:r>
        <w:rPr>
          <w:spacing w:val="-7"/>
        </w:rPr>
        <w:t>料进行合法性审核，除为了预防、应对和处置突发事件，或执行上级机关的紧急命令和决定需要立即制定实施的文件外，合法性</w:t>
      </w:r>
      <w:r>
        <w:rPr>
          <w:spacing w:val="-12"/>
        </w:rPr>
        <w:t>审核时间一般不少于 </w:t>
      </w:r>
      <w:r>
        <w:rPr>
          <w:rFonts w:ascii="Times New Roman" w:eastAsia="Times New Roman"/>
        </w:rPr>
        <w:t>5 </w:t>
      </w:r>
      <w:r>
        <w:rPr>
          <w:spacing w:val="-11"/>
        </w:rPr>
        <w:t>个工作日，最长不超过 </w:t>
      </w:r>
      <w:r>
        <w:rPr>
          <w:rFonts w:ascii="Times New Roman" w:eastAsia="Times New Roman"/>
        </w:rPr>
        <w:t>15 </w:t>
      </w:r>
      <w:r>
        <w:rPr>
          <w:spacing w:val="-3"/>
        </w:rPr>
        <w:t>个工作日。</w:t>
      </w:r>
    </w:p>
    <w:p>
      <w:pPr>
        <w:pStyle w:val="BodyText"/>
        <w:spacing w:line="307" w:lineRule="auto" w:before="3"/>
        <w:ind w:left="106" w:right="385" w:firstLine="636"/>
      </w:pPr>
      <w:r>
        <w:rPr>
          <w:spacing w:val="-6"/>
        </w:rPr>
        <w:t>起草部门报送需要紧急审核的县政府规范性文件代拟稿时， </w:t>
      </w:r>
      <w:r>
        <w:rPr>
          <w:spacing w:val="-5"/>
        </w:rPr>
        <w:t>应对文件紧急情况作出说明。</w:t>
      </w:r>
    </w:p>
    <w:p>
      <w:pPr>
        <w:pStyle w:val="BodyText"/>
        <w:tabs>
          <w:tab w:pos="2311" w:val="left" w:leader="none"/>
        </w:tabs>
        <w:spacing w:before="2"/>
        <w:ind w:left="742"/>
      </w:pPr>
      <w:r>
        <w:rPr>
          <w:rFonts w:ascii="文星黑体" w:eastAsia="文星黑体" w:hint="eastAsia"/>
        </w:rPr>
        <w:t>第</w:t>
      </w:r>
      <w:r>
        <w:rPr>
          <w:rFonts w:ascii="文星黑体" w:eastAsia="文星黑体" w:hint="eastAsia"/>
          <w:spacing w:val="-5"/>
        </w:rPr>
        <w:t>十</w:t>
      </w:r>
      <w:r>
        <w:rPr>
          <w:rFonts w:ascii="文星黑体" w:eastAsia="文星黑体" w:hint="eastAsia"/>
        </w:rPr>
        <w:t>四条</w:t>
        <w:tab/>
      </w:r>
      <w:r>
        <w:rPr/>
        <w:t>县</w:t>
      </w:r>
      <w:r>
        <w:rPr>
          <w:spacing w:val="-5"/>
        </w:rPr>
        <w:t>司</w:t>
      </w:r>
      <w:r>
        <w:rPr/>
        <w:t>法</w:t>
      </w:r>
      <w:r>
        <w:rPr>
          <w:spacing w:val="-5"/>
        </w:rPr>
        <w:t>局</w:t>
      </w:r>
      <w:r>
        <w:rPr/>
        <w:t>重</w:t>
      </w:r>
      <w:r>
        <w:rPr>
          <w:spacing w:val="-5"/>
        </w:rPr>
        <w:t>点</w:t>
      </w:r>
      <w:r>
        <w:rPr/>
        <w:t>就</w:t>
      </w:r>
      <w:r>
        <w:rPr>
          <w:spacing w:val="-5"/>
        </w:rPr>
        <w:t>下</w:t>
      </w:r>
      <w:r>
        <w:rPr/>
        <w:t>列</w:t>
      </w:r>
      <w:r>
        <w:rPr>
          <w:spacing w:val="-5"/>
        </w:rPr>
        <w:t>事</w:t>
      </w:r>
      <w:r>
        <w:rPr/>
        <w:t>项</w:t>
      </w:r>
      <w:r>
        <w:rPr>
          <w:spacing w:val="-5"/>
        </w:rPr>
        <w:t>进</w:t>
      </w:r>
      <w:r>
        <w:rPr/>
        <w:t>行</w:t>
      </w:r>
      <w:r>
        <w:rPr>
          <w:spacing w:val="-8"/>
        </w:rPr>
        <w:t>合</w:t>
      </w:r>
      <w:r>
        <w:rPr/>
        <w:t>法</w:t>
      </w:r>
      <w:r>
        <w:rPr>
          <w:spacing w:val="-5"/>
        </w:rPr>
        <w:t>性</w:t>
      </w:r>
      <w:r>
        <w:rPr/>
        <w:t>审</w:t>
      </w:r>
      <w:r>
        <w:rPr>
          <w:spacing w:val="-5"/>
        </w:rPr>
        <w:t>核</w:t>
      </w:r>
      <w:r>
        <w:rPr/>
        <w:t>：</w:t>
      </w:r>
    </w:p>
    <w:p>
      <w:pPr>
        <w:pStyle w:val="BodyText"/>
        <w:spacing w:before="123"/>
        <w:ind w:left="742"/>
      </w:pPr>
      <w:r>
        <w:rPr/>
        <w:t>（一）制定主体是否合法；</w:t>
      </w:r>
    </w:p>
    <w:p>
      <w:pPr>
        <w:pStyle w:val="BodyText"/>
        <w:spacing w:before="11"/>
        <w:rPr>
          <w:sz w:val="8"/>
        </w:rPr>
      </w:pPr>
    </w:p>
    <w:p>
      <w:pPr>
        <w:spacing w:before="59"/>
        <w:ind w:left="0" w:right="39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５</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before="49"/>
        <w:ind w:left="742"/>
      </w:pPr>
      <w:r>
        <w:rPr/>
        <w:t>（二）是否超越制定机关法定职权；</w:t>
      </w:r>
    </w:p>
    <w:p>
      <w:pPr>
        <w:pStyle w:val="BodyText"/>
        <w:spacing w:line="307" w:lineRule="auto" w:before="121"/>
        <w:ind w:left="106" w:right="385" w:firstLine="636"/>
      </w:pPr>
      <w:r>
        <w:rPr/>
        <w:t>（三）内容是否符合法律、法规、规章和国家、省、市政策规定；</w:t>
      </w:r>
    </w:p>
    <w:p>
      <w:pPr>
        <w:pStyle w:val="BodyText"/>
        <w:spacing w:line="307" w:lineRule="auto" w:before="2"/>
        <w:ind w:left="106" w:right="385" w:firstLine="636"/>
        <w:jc w:val="both"/>
      </w:pPr>
      <w:r>
        <w:rPr/>
        <w:t>（</w:t>
      </w:r>
      <w:r>
        <w:rPr>
          <w:spacing w:val="-5"/>
        </w:rPr>
        <w:t>四</w:t>
      </w:r>
      <w:r>
        <w:rPr/>
        <w:t>）</w:t>
      </w:r>
      <w:r>
        <w:rPr>
          <w:spacing w:val="-6"/>
        </w:rPr>
        <w:t>是否违法设立行政许可、行政处罚、行政强制、行政征收、行政收费等事项，是否增加办理行政许可事项的条件，是否规定出具循环证明、重复证明、无谓证明的内容；</w:t>
      </w:r>
    </w:p>
    <w:p>
      <w:pPr>
        <w:pStyle w:val="BodyText"/>
        <w:spacing w:line="307" w:lineRule="auto" w:before="3"/>
        <w:ind w:left="106" w:right="385" w:firstLine="636"/>
      </w:pPr>
      <w:r>
        <w:rPr/>
        <w:t>（</w:t>
      </w:r>
      <w:r>
        <w:rPr>
          <w:spacing w:val="-5"/>
        </w:rPr>
        <w:t>五</w:t>
      </w:r>
      <w:r>
        <w:rPr/>
        <w:t>）</w:t>
      </w:r>
      <w:r>
        <w:rPr>
          <w:spacing w:val="-6"/>
        </w:rPr>
        <w:t>是否存在没有法律、法规依据作出减损公民、法人和其他组织合法权益或者增加其义务的情形；</w:t>
      </w:r>
    </w:p>
    <w:p>
      <w:pPr>
        <w:pStyle w:val="BodyText"/>
        <w:spacing w:line="307" w:lineRule="auto" w:before="1"/>
        <w:ind w:left="106" w:right="385" w:firstLine="636"/>
      </w:pPr>
      <w:r>
        <w:rPr/>
        <w:t>（</w:t>
      </w:r>
      <w:r>
        <w:rPr>
          <w:spacing w:val="-5"/>
        </w:rPr>
        <w:t>六</w:t>
      </w:r>
      <w:r>
        <w:rPr/>
        <w:t>）</w:t>
      </w:r>
      <w:r>
        <w:rPr>
          <w:spacing w:val="-6"/>
        </w:rPr>
        <w:t>是否存在没有法律、法规依据作出增加本单位权力或</w:t>
      </w:r>
      <w:r>
        <w:rPr>
          <w:spacing w:val="-5"/>
        </w:rPr>
        <w:t>者减少本单位法定职责的情形；</w:t>
      </w:r>
    </w:p>
    <w:p>
      <w:pPr>
        <w:pStyle w:val="BodyText"/>
        <w:spacing w:before="2"/>
        <w:ind w:left="742"/>
      </w:pPr>
      <w:r>
        <w:rPr/>
        <w:t>（七）是否违反规范性文件制定程序；</w:t>
      </w:r>
    </w:p>
    <w:p>
      <w:pPr>
        <w:pStyle w:val="BodyText"/>
        <w:spacing w:before="121"/>
        <w:ind w:left="742"/>
      </w:pPr>
      <w:r>
        <w:rPr/>
        <w:t>（八）其他需要进行合法性审核的内容。</w:t>
      </w:r>
    </w:p>
    <w:p>
      <w:pPr>
        <w:pStyle w:val="BodyText"/>
        <w:tabs>
          <w:tab w:pos="2311" w:val="left" w:leader="none"/>
        </w:tabs>
        <w:spacing w:line="307" w:lineRule="auto" w:before="123"/>
        <w:ind w:left="106" w:right="393" w:firstLine="636"/>
      </w:pPr>
      <w:r>
        <w:rPr>
          <w:rFonts w:ascii="文星黑体" w:eastAsia="文星黑体" w:hint="eastAsia"/>
        </w:rPr>
        <w:t>第</w:t>
      </w:r>
      <w:r>
        <w:rPr>
          <w:rFonts w:ascii="文星黑体" w:eastAsia="文星黑体" w:hint="eastAsia"/>
          <w:spacing w:val="-5"/>
        </w:rPr>
        <w:t>十</w:t>
      </w:r>
      <w:r>
        <w:rPr>
          <w:rFonts w:ascii="文星黑体" w:eastAsia="文星黑体" w:hint="eastAsia"/>
        </w:rPr>
        <w:t>五条</w:t>
        <w:tab/>
      </w:r>
      <w:r>
        <w:rPr/>
        <w:t>县</w:t>
      </w:r>
      <w:r>
        <w:rPr>
          <w:spacing w:val="-5"/>
        </w:rPr>
        <w:t>司</w:t>
      </w:r>
      <w:r>
        <w:rPr/>
        <w:t>法局进</w:t>
      </w:r>
      <w:r>
        <w:rPr>
          <w:spacing w:val="-5"/>
        </w:rPr>
        <w:t>行</w:t>
      </w:r>
      <w:r>
        <w:rPr/>
        <w:t>合法</w:t>
      </w:r>
      <w:r>
        <w:rPr>
          <w:spacing w:val="-8"/>
        </w:rPr>
        <w:t>性</w:t>
      </w:r>
      <w:r>
        <w:rPr/>
        <w:t>审核</w:t>
      </w:r>
      <w:r>
        <w:rPr>
          <w:spacing w:val="-5"/>
        </w:rPr>
        <w:t>，</w:t>
      </w:r>
      <w:r>
        <w:rPr/>
        <w:t>可以根</w:t>
      </w:r>
      <w:r>
        <w:rPr>
          <w:spacing w:val="-5"/>
        </w:rPr>
        <w:t>据</w:t>
      </w:r>
      <w:r>
        <w:rPr/>
        <w:t>实际</w:t>
      </w:r>
      <w:r>
        <w:rPr>
          <w:spacing w:val="-5"/>
        </w:rPr>
        <w:t>需</w:t>
      </w:r>
      <w:r>
        <w:rPr>
          <w:spacing w:val="7"/>
        </w:rPr>
        <w:t>要</w:t>
      </w:r>
      <w:r>
        <w:rPr>
          <w:spacing w:val="-14"/>
        </w:rPr>
        <w:t>采</w:t>
      </w:r>
      <w:r>
        <w:rPr/>
        <w:t>取</w:t>
      </w:r>
      <w:r>
        <w:rPr>
          <w:spacing w:val="-5"/>
        </w:rPr>
        <w:t>下</w:t>
      </w:r>
      <w:r>
        <w:rPr/>
        <w:t>列</w:t>
      </w:r>
      <w:r>
        <w:rPr>
          <w:spacing w:val="-5"/>
        </w:rPr>
        <w:t>方</w:t>
      </w:r>
      <w:r>
        <w:rPr/>
        <w:t>式：</w:t>
      </w:r>
    </w:p>
    <w:p>
      <w:pPr>
        <w:pStyle w:val="BodyText"/>
        <w:spacing w:before="1"/>
        <w:ind w:left="742"/>
      </w:pPr>
      <w:r>
        <w:rPr/>
        <w:t>（一）书面审核；</w:t>
      </w:r>
    </w:p>
    <w:p>
      <w:pPr>
        <w:pStyle w:val="BodyText"/>
        <w:spacing w:before="121"/>
        <w:ind w:left="742"/>
      </w:pPr>
      <w:r>
        <w:rPr/>
        <w:t>（二）必要的调查研究；</w:t>
      </w:r>
    </w:p>
    <w:p>
      <w:pPr>
        <w:pStyle w:val="BodyText"/>
        <w:spacing w:line="307" w:lineRule="auto" w:before="123"/>
        <w:ind w:left="106" w:right="385" w:firstLine="636"/>
      </w:pPr>
      <w:r>
        <w:rPr/>
        <w:t>（</w:t>
      </w:r>
      <w:r>
        <w:rPr>
          <w:spacing w:val="-5"/>
        </w:rPr>
        <w:t>三</w:t>
      </w:r>
      <w:r>
        <w:rPr/>
        <w:t>）</w:t>
      </w:r>
      <w:r>
        <w:rPr>
          <w:spacing w:val="-6"/>
        </w:rPr>
        <w:t>通过召开座谈会、论证会、听证会、公开征求意见等</w:t>
      </w:r>
      <w:r>
        <w:rPr>
          <w:spacing w:val="-5"/>
        </w:rPr>
        <w:t>形式广泛听取社会各方面意见；</w:t>
      </w:r>
    </w:p>
    <w:p>
      <w:pPr>
        <w:pStyle w:val="BodyText"/>
        <w:spacing w:line="307" w:lineRule="auto" w:before="2"/>
        <w:ind w:left="106" w:right="385" w:firstLine="636"/>
      </w:pPr>
      <w:r>
        <w:rPr/>
        <w:t>（</w:t>
      </w:r>
      <w:r>
        <w:rPr>
          <w:spacing w:val="-5"/>
        </w:rPr>
        <w:t>四</w:t>
      </w:r>
      <w:r>
        <w:rPr/>
        <w:t>）</w:t>
      </w:r>
      <w:r>
        <w:rPr>
          <w:spacing w:val="-6"/>
        </w:rPr>
        <w:t>组织政府法律顾问、公职律师和有关专家进行法律咨</w:t>
      </w:r>
      <w:r>
        <w:rPr>
          <w:spacing w:val="-5"/>
        </w:rPr>
        <w:t>询或者论证，听取意见和建议。</w:t>
      </w:r>
    </w:p>
    <w:p>
      <w:pPr>
        <w:pStyle w:val="BodyText"/>
        <w:spacing w:line="307" w:lineRule="auto" w:before="1"/>
        <w:ind w:left="106" w:right="385" w:firstLine="636"/>
      </w:pPr>
      <w:r>
        <w:rPr/>
        <w:t>开展前款第（二）项至第（四）项工作的时间，不计算在合法性审核期限内。</w:t>
      </w:r>
    </w:p>
    <w:p>
      <w:pPr>
        <w:pStyle w:val="BodyText"/>
        <w:tabs>
          <w:tab w:pos="2311" w:val="left" w:leader="none"/>
        </w:tabs>
        <w:spacing w:before="2"/>
        <w:ind w:left="742"/>
      </w:pPr>
      <w:r>
        <w:rPr>
          <w:rFonts w:ascii="文星黑体" w:eastAsia="文星黑体" w:hint="eastAsia"/>
        </w:rPr>
        <w:t>第</w:t>
      </w:r>
      <w:r>
        <w:rPr>
          <w:rFonts w:ascii="文星黑体" w:eastAsia="文星黑体" w:hint="eastAsia"/>
          <w:spacing w:val="-5"/>
        </w:rPr>
        <w:t>十</w:t>
      </w:r>
      <w:r>
        <w:rPr>
          <w:rFonts w:ascii="文星黑体" w:eastAsia="文星黑体" w:hint="eastAsia"/>
        </w:rPr>
        <w:t>六条</w:t>
        <w:tab/>
      </w:r>
      <w:r>
        <w:rPr/>
        <w:t>对</w:t>
      </w:r>
      <w:r>
        <w:rPr>
          <w:spacing w:val="-5"/>
        </w:rPr>
        <w:t>审</w:t>
      </w:r>
      <w:r>
        <w:rPr/>
        <w:t>核中发</w:t>
      </w:r>
      <w:r>
        <w:rPr>
          <w:spacing w:val="-5"/>
        </w:rPr>
        <w:t>现</w:t>
      </w:r>
      <w:r>
        <w:rPr/>
        <w:t>的问</w:t>
      </w:r>
      <w:r>
        <w:rPr>
          <w:spacing w:val="-8"/>
        </w:rPr>
        <w:t>题</w:t>
      </w:r>
      <w:r>
        <w:rPr/>
        <w:t>，县</w:t>
      </w:r>
      <w:r>
        <w:rPr>
          <w:spacing w:val="-5"/>
        </w:rPr>
        <w:t>司</w:t>
      </w:r>
      <w:r>
        <w:rPr/>
        <w:t>法局依</w:t>
      </w:r>
      <w:r>
        <w:rPr>
          <w:spacing w:val="-5"/>
        </w:rPr>
        <w:t>照</w:t>
      </w:r>
      <w:r>
        <w:rPr/>
        <w:t>下列</w:t>
      </w:r>
      <w:r>
        <w:rPr>
          <w:spacing w:val="-5"/>
        </w:rPr>
        <w:t>规</w:t>
      </w:r>
      <w:r>
        <w:rPr>
          <w:spacing w:val="7"/>
        </w:rPr>
        <w:t>定</w:t>
      </w:r>
      <w:r>
        <w:rPr/>
        <w:t>处</w:t>
      </w:r>
    </w:p>
    <w:p>
      <w:pPr>
        <w:spacing w:before="182"/>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６</w:t>
      </w:r>
      <w:r>
        <w:rPr>
          <w:rFonts w:ascii="新宋体" w:eastAsia="新宋体" w:hint="eastAsia"/>
          <w:spacing w:val="-71"/>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before="49"/>
        <w:ind w:left="106"/>
      </w:pPr>
      <w:r>
        <w:rPr/>
        <w:t>理：</w:t>
      </w:r>
    </w:p>
    <w:p>
      <w:pPr>
        <w:pStyle w:val="BodyText"/>
        <w:spacing w:before="121"/>
        <w:ind w:left="742"/>
      </w:pPr>
      <w:r>
        <w:rPr/>
        <w:t>（一）不是规范性文件的，退回起草部门，不予合法性审</w:t>
      </w:r>
    </w:p>
    <w:p>
      <w:pPr>
        <w:pStyle w:val="BodyText"/>
        <w:spacing w:before="123"/>
        <w:ind w:left="106"/>
      </w:pPr>
      <w:r>
        <w:rPr/>
        <w:t>核；</w:t>
      </w:r>
    </w:p>
    <w:p>
      <w:pPr>
        <w:pStyle w:val="BodyText"/>
        <w:spacing w:before="121"/>
        <w:ind w:left="742"/>
      </w:pPr>
      <w:r>
        <w:rPr/>
        <w:t>（二）制定主体不合法、超越制定机关法定职权，或者主要</w:t>
      </w:r>
    </w:p>
    <w:p>
      <w:pPr>
        <w:pStyle w:val="BodyText"/>
        <w:spacing w:before="124"/>
        <w:ind w:left="106"/>
      </w:pPr>
      <w:r>
        <w:rPr/>
        <w:t>内容不合法的，提出不制定该规范性文件的意见；</w:t>
      </w:r>
    </w:p>
    <w:p>
      <w:pPr>
        <w:pStyle w:val="BodyText"/>
        <w:spacing w:before="120"/>
        <w:ind w:left="742"/>
      </w:pPr>
      <w:r>
        <w:rPr/>
        <w:t>（</w:t>
      </w:r>
      <w:r>
        <w:rPr>
          <w:spacing w:val="-5"/>
        </w:rPr>
        <w:t>三</w:t>
      </w:r>
      <w:r>
        <w:rPr/>
        <w:t>）</w:t>
      </w:r>
      <w:r>
        <w:rPr>
          <w:spacing w:val="-6"/>
        </w:rPr>
        <w:t>具体规定不合法的，提出相应修改意见。</w:t>
      </w:r>
    </w:p>
    <w:p>
      <w:pPr>
        <w:pStyle w:val="BodyText"/>
        <w:tabs>
          <w:tab w:pos="2311" w:val="left" w:leader="none"/>
        </w:tabs>
        <w:spacing w:line="307" w:lineRule="auto" w:before="124"/>
        <w:ind w:left="106" w:right="393" w:firstLine="636"/>
      </w:pPr>
      <w:r>
        <w:rPr>
          <w:rFonts w:ascii="文星黑体" w:eastAsia="文星黑体" w:hint="eastAsia"/>
        </w:rPr>
        <w:t>第</w:t>
      </w:r>
      <w:r>
        <w:rPr>
          <w:rFonts w:ascii="文星黑体" w:eastAsia="文星黑体" w:hint="eastAsia"/>
          <w:spacing w:val="-5"/>
        </w:rPr>
        <w:t>十</w:t>
      </w:r>
      <w:r>
        <w:rPr>
          <w:rFonts w:ascii="文星黑体" w:eastAsia="文星黑体" w:hint="eastAsia"/>
        </w:rPr>
        <w:t>七条</w:t>
        <w:tab/>
      </w:r>
      <w:r>
        <w:rPr/>
        <w:t>县</w:t>
      </w:r>
      <w:r>
        <w:rPr>
          <w:spacing w:val="-5"/>
        </w:rPr>
        <w:t>司</w:t>
      </w:r>
      <w:r>
        <w:rPr/>
        <w:t>法局在</w:t>
      </w:r>
      <w:r>
        <w:rPr>
          <w:spacing w:val="-5"/>
        </w:rPr>
        <w:t>完</w:t>
      </w:r>
      <w:r>
        <w:rPr/>
        <w:t>成合</w:t>
      </w:r>
      <w:r>
        <w:rPr>
          <w:spacing w:val="-8"/>
        </w:rPr>
        <w:t>法</w:t>
      </w:r>
      <w:r>
        <w:rPr/>
        <w:t>性审</w:t>
      </w:r>
      <w:r>
        <w:rPr>
          <w:spacing w:val="-5"/>
        </w:rPr>
        <w:t>核</w:t>
      </w:r>
      <w:r>
        <w:rPr/>
        <w:t>后，应</w:t>
      </w:r>
      <w:r>
        <w:rPr>
          <w:spacing w:val="-5"/>
        </w:rPr>
        <w:t>当</w:t>
      </w:r>
      <w:r>
        <w:rPr/>
        <w:t>出具</w:t>
      </w:r>
      <w:r>
        <w:rPr>
          <w:spacing w:val="-5"/>
        </w:rPr>
        <w:t>合</w:t>
      </w:r>
      <w:r>
        <w:rPr>
          <w:spacing w:val="7"/>
        </w:rPr>
        <w:t>法</w:t>
      </w:r>
      <w:r>
        <w:rPr>
          <w:spacing w:val="-14"/>
        </w:rPr>
        <w:t>性</w:t>
      </w:r>
      <w:r>
        <w:rPr/>
        <w:t>审</w:t>
      </w:r>
      <w:r>
        <w:rPr>
          <w:spacing w:val="-5"/>
        </w:rPr>
        <w:t>核</w:t>
      </w:r>
      <w:r>
        <w:rPr/>
        <w:t>意</w:t>
      </w:r>
      <w:r>
        <w:rPr>
          <w:spacing w:val="-5"/>
        </w:rPr>
        <w:t>见</w:t>
      </w:r>
      <w:r>
        <w:rPr/>
        <w:t>书</w:t>
      </w:r>
      <w:r>
        <w:rPr>
          <w:spacing w:val="-5"/>
        </w:rPr>
        <w:t>。</w:t>
      </w:r>
      <w:r>
        <w:rPr/>
        <w:t>合</w:t>
      </w:r>
      <w:r>
        <w:rPr>
          <w:spacing w:val="-5"/>
        </w:rPr>
        <w:t>法</w:t>
      </w:r>
      <w:r>
        <w:rPr/>
        <w:t>性</w:t>
      </w:r>
      <w:r>
        <w:rPr>
          <w:spacing w:val="-5"/>
        </w:rPr>
        <w:t>审</w:t>
      </w:r>
      <w:r>
        <w:rPr/>
        <w:t>核</w:t>
      </w:r>
      <w:r>
        <w:rPr>
          <w:spacing w:val="-5"/>
        </w:rPr>
        <w:t>意</w:t>
      </w:r>
      <w:r>
        <w:rPr/>
        <w:t>见</w:t>
      </w:r>
      <w:r>
        <w:rPr>
          <w:spacing w:val="-8"/>
        </w:rPr>
        <w:t>书</w:t>
      </w:r>
      <w:r>
        <w:rPr/>
        <w:t>应</w:t>
      </w:r>
      <w:r>
        <w:rPr>
          <w:spacing w:val="-5"/>
        </w:rPr>
        <w:t>当</w:t>
      </w:r>
      <w:r>
        <w:rPr/>
        <w:t>载</w:t>
      </w:r>
      <w:r>
        <w:rPr>
          <w:spacing w:val="-5"/>
        </w:rPr>
        <w:t>明</w:t>
      </w:r>
      <w:r>
        <w:rPr/>
        <w:t>下</w:t>
      </w:r>
      <w:r>
        <w:rPr>
          <w:spacing w:val="-5"/>
        </w:rPr>
        <w:t>列</w:t>
      </w:r>
      <w:r>
        <w:rPr/>
        <w:t>内</w:t>
      </w:r>
      <w:r>
        <w:rPr>
          <w:spacing w:val="-5"/>
        </w:rPr>
        <w:t>容</w:t>
      </w:r>
      <w:r>
        <w:rPr/>
        <w:t>：</w:t>
      </w:r>
    </w:p>
    <w:p>
      <w:pPr>
        <w:pStyle w:val="BodyText"/>
        <w:spacing w:before="1"/>
        <w:ind w:left="742"/>
      </w:pPr>
      <w:r>
        <w:rPr/>
        <w:t>（一）审核的基本情况；</w:t>
      </w:r>
    </w:p>
    <w:p>
      <w:pPr>
        <w:pStyle w:val="BodyText"/>
        <w:spacing w:before="121"/>
        <w:ind w:left="742"/>
      </w:pPr>
      <w:r>
        <w:rPr/>
        <w:t>（二）规范性文件在合法性方面是否存在问题；</w:t>
      </w:r>
    </w:p>
    <w:p>
      <w:pPr>
        <w:pStyle w:val="BodyText"/>
        <w:spacing w:before="123"/>
        <w:ind w:left="742"/>
      </w:pPr>
      <w:r>
        <w:rPr/>
        <w:t>（三）修改的意见和建议。</w:t>
      </w:r>
    </w:p>
    <w:p>
      <w:pPr>
        <w:pStyle w:val="BodyText"/>
        <w:spacing w:line="307" w:lineRule="auto" w:before="121"/>
        <w:ind w:left="106" w:right="388" w:firstLine="636"/>
        <w:jc w:val="both"/>
      </w:pPr>
      <w:r>
        <w:rPr>
          <w:rFonts w:ascii="文星黑体" w:eastAsia="文星黑体" w:hint="eastAsia"/>
          <w:spacing w:val="14"/>
        </w:rPr>
        <w:t>第十八条  </w:t>
      </w:r>
      <w:r>
        <w:rPr>
          <w:spacing w:val="5"/>
        </w:rPr>
        <w:t>起草部门应当配合县司法局做好合法性审核工</w:t>
      </w:r>
      <w:r>
        <w:rPr>
          <w:spacing w:val="-7"/>
        </w:rPr>
        <w:t>作，按要求就有关问题作出说明；其他有关部门应当积极协作配</w:t>
      </w:r>
      <w:r>
        <w:rPr/>
        <w:t>合。</w:t>
      </w:r>
    </w:p>
    <w:p>
      <w:pPr>
        <w:pStyle w:val="BodyText"/>
        <w:spacing w:line="307" w:lineRule="auto" w:before="3"/>
        <w:ind w:left="106" w:right="385" w:firstLine="636"/>
        <w:jc w:val="both"/>
      </w:pPr>
      <w:r>
        <w:rPr>
          <w:spacing w:val="-6"/>
        </w:rPr>
        <w:t>起草部门应当对县司法局出具的合法性审核意见进行认真研</w:t>
      </w:r>
      <w:r>
        <w:rPr>
          <w:spacing w:val="5"/>
        </w:rPr>
        <w:t>究，根据审核意见对政府规范性文件代拟稿作必要的修改或补</w:t>
      </w:r>
      <w:r>
        <w:rPr/>
        <w:t>充。</w:t>
      </w:r>
    </w:p>
    <w:p>
      <w:pPr>
        <w:pStyle w:val="BodyText"/>
        <w:spacing w:before="13"/>
        <w:rPr>
          <w:sz w:val="39"/>
        </w:rPr>
      </w:pPr>
    </w:p>
    <w:p>
      <w:pPr>
        <w:pStyle w:val="BodyText"/>
        <w:tabs>
          <w:tab w:pos="1257" w:val="left" w:leader="none"/>
        </w:tabs>
        <w:ind w:right="286"/>
        <w:jc w:val="center"/>
        <w:rPr>
          <w:rFonts w:ascii="文星黑体" w:eastAsia="文星黑体" w:hint="eastAsia"/>
        </w:rPr>
      </w:pPr>
      <w:r>
        <w:rPr>
          <w:rFonts w:ascii="文星黑体" w:eastAsia="文星黑体" w:hint="eastAsia"/>
        </w:rPr>
        <w:t>第</w:t>
      </w:r>
      <w:r>
        <w:rPr>
          <w:rFonts w:ascii="文星黑体" w:eastAsia="文星黑体" w:hint="eastAsia"/>
          <w:spacing w:val="-5"/>
        </w:rPr>
        <w:t>五</w:t>
      </w:r>
      <w:r>
        <w:rPr>
          <w:rFonts w:ascii="文星黑体" w:eastAsia="文星黑体" w:hint="eastAsia"/>
        </w:rPr>
        <w:t>章</w:t>
        <w:tab/>
        <w:t>决</w:t>
      </w:r>
      <w:r>
        <w:rPr>
          <w:rFonts w:ascii="文星黑体" w:eastAsia="文星黑体" w:hint="eastAsia"/>
          <w:spacing w:val="-5"/>
        </w:rPr>
        <w:t>定</w:t>
      </w:r>
      <w:r>
        <w:rPr>
          <w:rFonts w:ascii="文星黑体" w:eastAsia="文星黑体" w:hint="eastAsia"/>
        </w:rPr>
        <w:t>和</w:t>
      </w:r>
      <w:r>
        <w:rPr>
          <w:rFonts w:ascii="文星黑体" w:eastAsia="文星黑体" w:hint="eastAsia"/>
          <w:spacing w:val="-5"/>
        </w:rPr>
        <w:t>公</w:t>
      </w:r>
      <w:r>
        <w:rPr>
          <w:rFonts w:ascii="文星黑体" w:eastAsia="文星黑体" w:hint="eastAsia"/>
        </w:rPr>
        <w:t>布</w:t>
      </w:r>
    </w:p>
    <w:p>
      <w:pPr>
        <w:pStyle w:val="BodyText"/>
        <w:spacing w:before="6"/>
        <w:rPr>
          <w:rFonts w:ascii="文星黑体"/>
          <w:sz w:val="48"/>
        </w:rPr>
      </w:pPr>
    </w:p>
    <w:p>
      <w:pPr>
        <w:pStyle w:val="BodyText"/>
        <w:spacing w:line="307" w:lineRule="auto"/>
        <w:ind w:left="106" w:right="388" w:firstLine="636"/>
        <w:jc w:val="both"/>
      </w:pPr>
      <w:r>
        <w:rPr>
          <w:rFonts w:ascii="文星黑体" w:eastAsia="文星黑体" w:hint="eastAsia"/>
        </w:rPr>
        <w:t>第十九条  </w:t>
      </w:r>
      <w:r>
        <w:rPr>
          <w:spacing w:val="-5"/>
        </w:rPr>
        <w:t>制定规范性文件实行统一登记、统一编号、统一</w:t>
      </w:r>
      <w:r>
        <w:rPr>
          <w:spacing w:val="-7"/>
        </w:rPr>
        <w:t>公布制度。未经统一登记、统一编号、统一公布的规范性文件无</w:t>
      </w:r>
      <w:r>
        <w:rPr>
          <w:spacing w:val="-5"/>
        </w:rPr>
        <w:t>效，不得作为行政管理的依据。</w:t>
      </w:r>
    </w:p>
    <w:p>
      <w:pPr>
        <w:spacing w:before="62"/>
        <w:ind w:left="0" w:right="39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７</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line="307" w:lineRule="auto" w:before="49"/>
        <w:ind w:left="106" w:right="388" w:firstLine="636"/>
        <w:jc w:val="both"/>
      </w:pPr>
      <w:r>
        <w:rPr>
          <w:rFonts w:ascii="文星黑体" w:hAnsi="文星黑体" w:eastAsia="文星黑体" w:hint="eastAsia"/>
        </w:rPr>
        <w:t>第二十条 </w:t>
      </w:r>
      <w:r>
        <w:rPr>
          <w:spacing w:val="-5"/>
        </w:rPr>
        <w:t>规范性文件应当载明有效期和施行日期。规范性</w:t>
      </w:r>
      <w:r>
        <w:rPr>
          <w:spacing w:val="12"/>
          <w:w w:val="102"/>
        </w:rPr>
        <w:t>文</w:t>
      </w:r>
      <w:r>
        <w:rPr>
          <w:spacing w:val="8"/>
          <w:w w:val="102"/>
        </w:rPr>
        <w:t>件有效期为</w:t>
      </w:r>
      <w:r>
        <w:rPr>
          <w:rFonts w:ascii="Times New Roman" w:hAnsi="Times New Roman" w:eastAsia="Times New Roman"/>
          <w:w w:val="102"/>
        </w:rPr>
        <w:t>3</w:t>
      </w:r>
      <w:r>
        <w:rPr>
          <w:rFonts w:ascii="Times New Roman" w:hAnsi="Times New Roman" w:eastAsia="Times New Roman"/>
        </w:rPr>
        <w:t> </w:t>
      </w:r>
      <w:r>
        <w:rPr>
          <w:spacing w:val="12"/>
          <w:w w:val="102"/>
        </w:rPr>
        <w:t>至</w:t>
      </w:r>
      <w:r>
        <w:rPr>
          <w:rFonts w:ascii="Times New Roman" w:hAnsi="Times New Roman" w:eastAsia="Times New Roman"/>
          <w:w w:val="102"/>
        </w:rPr>
        <w:t>5</w:t>
      </w:r>
      <w:r>
        <w:rPr>
          <w:rFonts w:ascii="Times New Roman" w:hAnsi="Times New Roman" w:eastAsia="Times New Roman"/>
        </w:rPr>
        <w:t> </w:t>
      </w:r>
      <w:r>
        <w:rPr>
          <w:spacing w:val="-3"/>
          <w:w w:val="102"/>
        </w:rPr>
        <w:t>年；标注“暂行”“试行”的规范性文件，</w:t>
      </w:r>
      <w:r>
        <w:rPr/>
        <w:t>有</w:t>
      </w:r>
      <w:r>
        <w:rPr>
          <w:spacing w:val="-20"/>
        </w:rPr>
        <w:t>效期为 </w:t>
      </w:r>
      <w:r>
        <w:rPr>
          <w:rFonts w:ascii="Times New Roman" w:hAnsi="Times New Roman" w:eastAsia="Times New Roman"/>
        </w:rPr>
        <w:t>1 </w:t>
      </w:r>
      <w:r>
        <w:rPr>
          <w:spacing w:val="-34"/>
        </w:rPr>
        <w:t>至 </w:t>
      </w:r>
      <w:r>
        <w:rPr>
          <w:rFonts w:ascii="Times New Roman" w:hAnsi="Times New Roman" w:eastAsia="Times New Roman"/>
        </w:rPr>
        <w:t>2 </w:t>
      </w:r>
      <w:r>
        <w:rPr>
          <w:spacing w:val="-5"/>
        </w:rPr>
        <w:t>年。有效期满，规范性文件自动失效。</w:t>
      </w:r>
    </w:p>
    <w:p>
      <w:pPr>
        <w:pStyle w:val="BodyText"/>
        <w:spacing w:line="307" w:lineRule="auto" w:before="1"/>
        <w:ind w:left="106" w:right="385" w:firstLine="636"/>
        <w:jc w:val="both"/>
      </w:pPr>
      <w:r>
        <w:rPr>
          <w:spacing w:val="4"/>
        </w:rPr>
        <w:t>规范性文件施行日期与公布日期的间隔不得少于</w:t>
      </w:r>
      <w:r>
        <w:rPr>
          <w:rFonts w:ascii="Times New Roman" w:eastAsia="Times New Roman"/>
        </w:rPr>
        <w:t>30</w:t>
      </w:r>
      <w:r>
        <w:rPr>
          <w:rFonts w:ascii="Times New Roman" w:eastAsia="Times New Roman"/>
          <w:spacing w:val="74"/>
        </w:rPr>
        <w:t> </w:t>
      </w:r>
      <w:r>
        <w:rPr>
          <w:spacing w:val="3"/>
        </w:rPr>
        <w:t>日。但</w:t>
      </w:r>
      <w:r>
        <w:rPr>
          <w:spacing w:val="-6"/>
        </w:rPr>
        <w:t>规范性文件公布后不立即施行将影响法律、法规、规章、上级规范性文件执行，或者不利于保障国家安全、公共利益的，可以自</w:t>
      </w:r>
      <w:r>
        <w:rPr>
          <w:spacing w:val="-5"/>
        </w:rPr>
        <w:t>公布之日起施行。</w:t>
      </w:r>
    </w:p>
    <w:p>
      <w:pPr>
        <w:pStyle w:val="BodyText"/>
        <w:rPr>
          <w:sz w:val="40"/>
        </w:rPr>
      </w:pPr>
    </w:p>
    <w:p>
      <w:pPr>
        <w:pStyle w:val="BodyText"/>
        <w:tabs>
          <w:tab w:pos="1257" w:val="left" w:leader="none"/>
        </w:tabs>
        <w:ind w:right="281"/>
        <w:jc w:val="center"/>
        <w:rPr>
          <w:rFonts w:ascii="文星黑体" w:eastAsia="文星黑体" w:hint="eastAsia"/>
        </w:rPr>
      </w:pPr>
      <w:r>
        <w:rPr>
          <w:rFonts w:ascii="文星黑体" w:eastAsia="文星黑体" w:hint="eastAsia"/>
        </w:rPr>
        <w:t>第</w:t>
      </w:r>
      <w:r>
        <w:rPr>
          <w:rFonts w:ascii="文星黑体" w:eastAsia="文星黑体" w:hint="eastAsia"/>
          <w:spacing w:val="-5"/>
        </w:rPr>
        <w:t>六</w:t>
      </w:r>
      <w:r>
        <w:rPr>
          <w:rFonts w:ascii="文星黑体" w:eastAsia="文星黑体" w:hint="eastAsia"/>
        </w:rPr>
        <w:t>章</w:t>
        <w:tab/>
        <w:t>备</w:t>
      </w:r>
      <w:r>
        <w:rPr>
          <w:rFonts w:ascii="文星黑体" w:eastAsia="文星黑体" w:hint="eastAsia"/>
          <w:spacing w:val="-5"/>
        </w:rPr>
        <w:t>案</w:t>
      </w:r>
      <w:r>
        <w:rPr>
          <w:rFonts w:ascii="文星黑体" w:eastAsia="文星黑体" w:hint="eastAsia"/>
        </w:rPr>
        <w:t>审查</w:t>
      </w:r>
    </w:p>
    <w:p>
      <w:pPr>
        <w:pStyle w:val="BodyText"/>
        <w:spacing w:before="7"/>
        <w:rPr>
          <w:rFonts w:ascii="文星黑体"/>
          <w:sz w:val="48"/>
        </w:rPr>
      </w:pPr>
    </w:p>
    <w:p>
      <w:pPr>
        <w:pStyle w:val="BodyText"/>
        <w:spacing w:line="307" w:lineRule="auto"/>
        <w:ind w:left="106" w:right="393" w:firstLine="636"/>
        <w:jc w:val="both"/>
      </w:pPr>
      <w:r>
        <w:rPr>
          <w:rFonts w:ascii="文星黑体" w:eastAsia="文星黑体" w:hint="eastAsia"/>
        </w:rPr>
        <w:t>第二十一条  </w:t>
      </w:r>
      <w:r>
        <w:rPr/>
        <w:t>县政府规范性文件由县政府按规定报县人大常委会和市政府备案。</w:t>
      </w:r>
    </w:p>
    <w:p>
      <w:pPr>
        <w:pStyle w:val="BodyText"/>
        <w:spacing w:line="307" w:lineRule="auto" w:before="1"/>
        <w:ind w:left="106" w:right="393" w:firstLine="636"/>
        <w:jc w:val="both"/>
      </w:pPr>
      <w:r>
        <w:rPr>
          <w:rFonts w:ascii="文星黑体" w:eastAsia="文星黑体" w:hint="eastAsia"/>
        </w:rPr>
        <w:t>第二十二条  </w:t>
      </w:r>
      <w:r>
        <w:rPr/>
        <w:t>县司法局在县政府领导下，依照本办法规定负责规范性文件的备案工作，履行备案审查监督职责。</w:t>
      </w:r>
    </w:p>
    <w:p>
      <w:pPr>
        <w:pStyle w:val="BodyText"/>
        <w:spacing w:line="307" w:lineRule="auto" w:before="2"/>
        <w:ind w:left="106" w:right="385" w:firstLine="636"/>
        <w:jc w:val="both"/>
      </w:pPr>
      <w:r>
        <w:rPr/>
        <w:t>乡镇政府（街道办事处）和县政府工作部门规范性文件应当自印发之日起</w:t>
      </w:r>
      <w:r>
        <w:rPr>
          <w:rFonts w:ascii="Times New Roman" w:eastAsia="Times New Roman"/>
        </w:rPr>
        <w:t>30 </w:t>
      </w:r>
      <w:r>
        <w:rPr/>
        <w:t>日内由制定机关将备案报告、纸质文本、起草说明和合法性审核意见，一式 </w:t>
      </w:r>
      <w:r>
        <w:rPr>
          <w:rFonts w:ascii="Times New Roman" w:eastAsia="Times New Roman"/>
        </w:rPr>
        <w:t>2 </w:t>
      </w:r>
      <w:r>
        <w:rPr/>
        <w:t>份，报县司法局备案。</w:t>
      </w:r>
    </w:p>
    <w:p>
      <w:pPr>
        <w:pStyle w:val="BodyText"/>
        <w:spacing w:line="307" w:lineRule="auto"/>
        <w:ind w:left="106" w:right="385" w:firstLine="636"/>
      </w:pPr>
      <w:r>
        <w:rPr>
          <w:spacing w:val="-6"/>
        </w:rPr>
        <w:t>规范性文件电子文本按照有关规定通过山东省规章规范性文</w:t>
      </w:r>
      <w:r>
        <w:rPr>
          <w:spacing w:val="-5"/>
        </w:rPr>
        <w:t>件电子监督平台报送备案。</w:t>
      </w:r>
    </w:p>
    <w:p>
      <w:pPr>
        <w:pStyle w:val="BodyText"/>
        <w:tabs>
          <w:tab w:pos="2645" w:val="left" w:leader="none"/>
        </w:tabs>
        <w:spacing w:line="307" w:lineRule="auto" w:before="2"/>
        <w:ind w:left="106" w:right="388" w:firstLine="636"/>
      </w:pPr>
      <w:r>
        <w:rPr>
          <w:rFonts w:ascii="文星黑体" w:eastAsia="文星黑体" w:hint="eastAsia"/>
        </w:rPr>
        <w:t>第</w:t>
      </w:r>
      <w:r>
        <w:rPr>
          <w:rFonts w:ascii="文星黑体" w:eastAsia="文星黑体" w:hint="eastAsia"/>
          <w:spacing w:val="-5"/>
        </w:rPr>
        <w:t>二</w:t>
      </w:r>
      <w:r>
        <w:rPr>
          <w:rFonts w:ascii="文星黑体" w:eastAsia="文星黑体" w:hint="eastAsia"/>
        </w:rPr>
        <w:t>十三条</w:t>
        <w:tab/>
      </w:r>
      <w:r>
        <w:rPr/>
        <w:t>县</w:t>
      </w:r>
      <w:r>
        <w:rPr>
          <w:spacing w:val="7"/>
        </w:rPr>
        <w:t>司</w:t>
      </w:r>
      <w:r>
        <w:rPr/>
        <w:t>法局</w:t>
      </w:r>
      <w:r>
        <w:rPr>
          <w:spacing w:val="7"/>
        </w:rPr>
        <w:t>应</w:t>
      </w:r>
      <w:r>
        <w:rPr/>
        <w:t>当在</w:t>
      </w:r>
      <w:r>
        <w:rPr>
          <w:rFonts w:ascii="Times New Roman" w:eastAsia="Times New Roman"/>
        </w:rPr>
        <w:t>5</w:t>
      </w:r>
      <w:r>
        <w:rPr>
          <w:rFonts w:ascii="Times New Roman" w:eastAsia="Times New Roman"/>
          <w:spacing w:val="36"/>
        </w:rPr>
        <w:t> </w:t>
      </w:r>
      <w:r>
        <w:rPr/>
        <w:t>日内对</w:t>
      </w:r>
      <w:r>
        <w:rPr>
          <w:spacing w:val="7"/>
        </w:rPr>
        <w:t>报</w:t>
      </w:r>
      <w:r>
        <w:rPr/>
        <w:t>送备</w:t>
      </w:r>
      <w:r>
        <w:rPr>
          <w:spacing w:val="7"/>
        </w:rPr>
        <w:t>案</w:t>
      </w:r>
      <w:r>
        <w:rPr/>
        <w:t>的文</w:t>
      </w:r>
      <w:r>
        <w:rPr>
          <w:spacing w:val="4"/>
        </w:rPr>
        <w:t>件</w:t>
      </w:r>
      <w:r>
        <w:rPr>
          <w:spacing w:val="7"/>
        </w:rPr>
        <w:t>进</w:t>
      </w:r>
      <w:r>
        <w:rPr>
          <w:spacing w:val="-14"/>
        </w:rPr>
        <w:t>行</w:t>
      </w:r>
      <w:r>
        <w:rPr/>
        <w:t>形</w:t>
      </w:r>
      <w:r>
        <w:rPr>
          <w:spacing w:val="-5"/>
        </w:rPr>
        <w:t>式</w:t>
      </w:r>
      <w:r>
        <w:rPr/>
        <w:t>审</w:t>
      </w:r>
      <w:r>
        <w:rPr>
          <w:spacing w:val="-5"/>
        </w:rPr>
        <w:t>查</w:t>
      </w:r>
      <w:r>
        <w:rPr/>
        <w:t>，</w:t>
      </w:r>
      <w:r>
        <w:rPr>
          <w:spacing w:val="-5"/>
        </w:rPr>
        <w:t>并</w:t>
      </w:r>
      <w:r>
        <w:rPr/>
        <w:t>作</w:t>
      </w:r>
      <w:r>
        <w:rPr>
          <w:spacing w:val="-5"/>
        </w:rPr>
        <w:t>出</w:t>
      </w:r>
      <w:r>
        <w:rPr/>
        <w:t>相</w:t>
      </w:r>
      <w:r>
        <w:rPr>
          <w:spacing w:val="-5"/>
        </w:rPr>
        <w:t>应</w:t>
      </w:r>
      <w:r>
        <w:rPr/>
        <w:t>处</w:t>
      </w:r>
      <w:r>
        <w:rPr>
          <w:spacing w:val="-5"/>
        </w:rPr>
        <w:t>理</w:t>
      </w:r>
      <w:r>
        <w:rPr/>
        <w:t>：</w:t>
      </w:r>
    </w:p>
    <w:p>
      <w:pPr>
        <w:pStyle w:val="BodyText"/>
        <w:spacing w:before="1"/>
        <w:ind w:left="742"/>
      </w:pPr>
      <w:r>
        <w:rPr/>
        <w:t>（一）不属于规范性文件的，不予备案登记并通知制定机</w:t>
      </w:r>
    </w:p>
    <w:p>
      <w:pPr>
        <w:pStyle w:val="BodyText"/>
        <w:spacing w:before="124"/>
        <w:ind w:left="106"/>
      </w:pPr>
      <w:r>
        <w:rPr/>
        <w:t>关；</w:t>
      </w:r>
    </w:p>
    <w:p>
      <w:pPr>
        <w:spacing w:before="182"/>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８</w:t>
      </w:r>
      <w:r>
        <w:rPr>
          <w:rFonts w:ascii="新宋体" w:eastAsia="新宋体" w:hint="eastAsia"/>
          <w:spacing w:val="-71"/>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line="307" w:lineRule="auto" w:before="49"/>
        <w:ind w:left="106" w:right="385" w:firstLine="636"/>
      </w:pPr>
      <w:r>
        <w:rPr/>
        <w:t>（</w:t>
      </w:r>
      <w:r>
        <w:rPr>
          <w:spacing w:val="-5"/>
        </w:rPr>
        <w:t>二</w:t>
      </w:r>
      <w:r>
        <w:rPr/>
        <w:t>）</w:t>
      </w:r>
      <w:r>
        <w:rPr>
          <w:spacing w:val="-6"/>
        </w:rPr>
        <w:t>属于规范性文件，报送材料齐全且符合法定形式的， </w:t>
      </w:r>
      <w:r>
        <w:rPr>
          <w:spacing w:val="-4"/>
        </w:rPr>
        <w:t>予以备案登记；</w:t>
      </w:r>
    </w:p>
    <w:p>
      <w:pPr>
        <w:pStyle w:val="BodyText"/>
        <w:spacing w:line="307" w:lineRule="auto" w:before="2"/>
        <w:ind w:left="106" w:right="385" w:firstLine="636"/>
        <w:jc w:val="both"/>
      </w:pPr>
      <w:r>
        <w:rPr/>
        <w:t>（</w:t>
      </w:r>
      <w:r>
        <w:rPr>
          <w:spacing w:val="-5"/>
        </w:rPr>
        <w:t>三</w:t>
      </w:r>
      <w:r>
        <w:rPr/>
        <w:t>）</w:t>
      </w:r>
      <w:r>
        <w:rPr>
          <w:spacing w:val="-6"/>
        </w:rPr>
        <w:t>属于规范性文件，但报送材料不齐全或者不符合法定</w:t>
      </w:r>
      <w:r>
        <w:rPr>
          <w:spacing w:val="4"/>
        </w:rPr>
        <w:t>形式的，暂缓办理备案登记，并通知制定机关在</w:t>
      </w:r>
      <w:r>
        <w:rPr>
          <w:rFonts w:ascii="Times New Roman" w:eastAsia="Times New Roman"/>
        </w:rPr>
        <w:t>15</w:t>
      </w:r>
      <w:r>
        <w:rPr>
          <w:rFonts w:ascii="Times New Roman" w:eastAsia="Times New Roman"/>
          <w:spacing w:val="9"/>
        </w:rPr>
        <w:t> </w:t>
      </w:r>
      <w:r>
        <w:rPr>
          <w:spacing w:val="5"/>
        </w:rPr>
        <w:t>日内补充报</w:t>
      </w:r>
      <w:r>
        <w:rPr>
          <w:spacing w:val="-6"/>
        </w:rPr>
        <w:t>送备案或者重新报送备案；补充或者重新报送备案符合规定的， </w:t>
      </w:r>
      <w:r>
        <w:rPr>
          <w:spacing w:val="-5"/>
        </w:rPr>
        <w:t>予以备案登记。</w:t>
      </w:r>
    </w:p>
    <w:p>
      <w:pPr>
        <w:pStyle w:val="BodyText"/>
        <w:spacing w:line="307" w:lineRule="auto" w:before="2"/>
        <w:ind w:left="106" w:right="393" w:firstLine="636"/>
        <w:jc w:val="both"/>
      </w:pPr>
      <w:r>
        <w:rPr>
          <w:rFonts w:ascii="文星黑体" w:eastAsia="文星黑体" w:hint="eastAsia"/>
        </w:rPr>
        <w:t>第二十四条  </w:t>
      </w:r>
      <w:r>
        <w:rPr/>
        <w:t>县司法局对报送备案的规范性文件应当按照本办法第十四条的规定进行审查。</w:t>
      </w:r>
    </w:p>
    <w:p>
      <w:pPr>
        <w:pStyle w:val="BodyText"/>
        <w:spacing w:before="2"/>
        <w:ind w:left="742"/>
      </w:pPr>
      <w:r>
        <w:rPr/>
        <w:t>县司法局对报送备案的规范性文件应当自备案登记之日起</w:t>
      </w:r>
    </w:p>
    <w:p>
      <w:pPr>
        <w:pStyle w:val="BodyText"/>
        <w:spacing w:before="121"/>
        <w:ind w:left="106"/>
      </w:pPr>
      <w:r>
        <w:rPr>
          <w:rFonts w:ascii="Times New Roman" w:eastAsia="Times New Roman"/>
        </w:rPr>
        <w:t>60 </w:t>
      </w:r>
      <w:r>
        <w:rPr/>
        <w:t>日内审查完毕。</w:t>
      </w:r>
    </w:p>
    <w:p>
      <w:pPr>
        <w:pStyle w:val="BodyText"/>
        <w:tabs>
          <w:tab w:pos="2628" w:val="left" w:leader="none"/>
        </w:tabs>
        <w:spacing w:line="307" w:lineRule="auto" w:before="123"/>
        <w:ind w:left="106" w:right="388" w:firstLine="636"/>
      </w:pPr>
      <w:r>
        <w:rPr>
          <w:rFonts w:ascii="文星黑体" w:eastAsia="文星黑体" w:hint="eastAsia"/>
        </w:rPr>
        <w:t>第</w:t>
      </w:r>
      <w:r>
        <w:rPr>
          <w:rFonts w:ascii="文星黑体" w:eastAsia="文星黑体" w:hint="eastAsia"/>
          <w:spacing w:val="-5"/>
        </w:rPr>
        <w:t>二</w:t>
      </w:r>
      <w:r>
        <w:rPr>
          <w:rFonts w:ascii="文星黑体" w:eastAsia="文星黑体" w:hint="eastAsia"/>
        </w:rPr>
        <w:t>十五条</w:t>
        <w:tab/>
      </w:r>
      <w:r>
        <w:rPr>
          <w:spacing w:val="-5"/>
        </w:rPr>
        <w:t>审</w:t>
      </w:r>
      <w:r>
        <w:rPr/>
        <w:t>查备案</w:t>
      </w:r>
      <w:r>
        <w:rPr>
          <w:spacing w:val="-5"/>
        </w:rPr>
        <w:t>的</w:t>
      </w:r>
      <w:r>
        <w:rPr/>
        <w:t>规范</w:t>
      </w:r>
      <w:r>
        <w:rPr>
          <w:spacing w:val="-8"/>
        </w:rPr>
        <w:t>性</w:t>
      </w:r>
      <w:r>
        <w:rPr/>
        <w:t>文件</w:t>
      </w:r>
      <w:r>
        <w:rPr>
          <w:spacing w:val="-5"/>
        </w:rPr>
        <w:t>时</w:t>
      </w:r>
      <w:r>
        <w:rPr/>
        <w:t>，可以</w:t>
      </w:r>
      <w:r>
        <w:rPr>
          <w:spacing w:val="-5"/>
        </w:rPr>
        <w:t>根</w:t>
      </w:r>
      <w:r>
        <w:rPr/>
        <w:t>据需</w:t>
      </w:r>
      <w:r>
        <w:rPr>
          <w:spacing w:val="-5"/>
        </w:rPr>
        <w:t>要</w:t>
      </w:r>
      <w:r>
        <w:rPr>
          <w:spacing w:val="12"/>
        </w:rPr>
        <w:t>采</w:t>
      </w:r>
      <w:r>
        <w:rPr>
          <w:spacing w:val="-14"/>
        </w:rPr>
        <w:t>取</w:t>
      </w:r>
      <w:r>
        <w:rPr/>
        <w:t>下</w:t>
      </w:r>
      <w:r>
        <w:rPr>
          <w:spacing w:val="-5"/>
        </w:rPr>
        <w:t>列</w:t>
      </w:r>
      <w:r>
        <w:rPr/>
        <w:t>措</w:t>
      </w:r>
      <w:r>
        <w:rPr>
          <w:spacing w:val="-5"/>
        </w:rPr>
        <w:t>施</w:t>
      </w:r>
      <w:r>
        <w:rPr/>
        <w:t>，</w:t>
      </w:r>
      <w:r>
        <w:rPr>
          <w:spacing w:val="-5"/>
        </w:rPr>
        <w:t>有</w:t>
      </w:r>
      <w:r>
        <w:rPr/>
        <w:t>关</w:t>
      </w:r>
      <w:r>
        <w:rPr>
          <w:spacing w:val="-5"/>
        </w:rPr>
        <w:t>部</w:t>
      </w:r>
      <w:r>
        <w:rPr/>
        <w:t>门</w:t>
      </w:r>
      <w:r>
        <w:rPr>
          <w:spacing w:val="-5"/>
        </w:rPr>
        <w:t>单</w:t>
      </w:r>
      <w:r>
        <w:rPr/>
        <w:t>位</w:t>
      </w:r>
      <w:r>
        <w:rPr>
          <w:spacing w:val="-5"/>
        </w:rPr>
        <w:t>应</w:t>
      </w:r>
      <w:r>
        <w:rPr/>
        <w:t>当</w:t>
      </w:r>
      <w:r>
        <w:rPr>
          <w:spacing w:val="-8"/>
        </w:rPr>
        <w:t>予</w:t>
      </w:r>
      <w:r>
        <w:rPr/>
        <w:t>以</w:t>
      </w:r>
      <w:r>
        <w:rPr>
          <w:spacing w:val="-5"/>
        </w:rPr>
        <w:t>协</w:t>
      </w:r>
      <w:r>
        <w:rPr/>
        <w:t>助：</w:t>
      </w:r>
    </w:p>
    <w:p>
      <w:pPr>
        <w:pStyle w:val="BodyText"/>
        <w:spacing w:before="1"/>
        <w:ind w:left="742"/>
      </w:pPr>
      <w:r>
        <w:rPr/>
        <w:t>（一）必要的调查研究；</w:t>
      </w:r>
    </w:p>
    <w:p>
      <w:pPr>
        <w:pStyle w:val="BodyText"/>
        <w:spacing w:before="121"/>
        <w:ind w:left="742"/>
      </w:pPr>
      <w:r>
        <w:rPr/>
        <w:t>（二）要求制定机关提供与备案文件有关的资料；</w:t>
      </w:r>
    </w:p>
    <w:p>
      <w:pPr>
        <w:pStyle w:val="BodyText"/>
        <w:spacing w:line="307" w:lineRule="auto" w:before="124"/>
        <w:ind w:left="106" w:right="385" w:firstLine="636"/>
        <w:jc w:val="both"/>
      </w:pPr>
      <w:r>
        <w:rPr/>
        <w:t>（</w:t>
      </w:r>
      <w:r>
        <w:rPr>
          <w:spacing w:val="-5"/>
        </w:rPr>
        <w:t>三</w:t>
      </w:r>
      <w:r>
        <w:rPr/>
        <w:t>）</w:t>
      </w:r>
      <w:r>
        <w:rPr>
          <w:spacing w:val="-6"/>
        </w:rPr>
        <w:t>通过书面征求意见以及召开座谈会、论证会、听证会</w:t>
      </w:r>
      <w:r>
        <w:rPr>
          <w:spacing w:val="-5"/>
        </w:rPr>
        <w:t>等形式征求有关部门、乡镇政府</w:t>
      </w:r>
      <w:r>
        <w:rPr/>
        <w:t>（</w:t>
      </w:r>
      <w:r>
        <w:rPr>
          <w:spacing w:val="-3"/>
        </w:rPr>
        <w:t>街道办事处</w:t>
      </w:r>
      <w:r>
        <w:rPr/>
        <w:t>）</w:t>
      </w:r>
      <w:r>
        <w:rPr>
          <w:spacing w:val="-3"/>
        </w:rPr>
        <w:t>和社会有关方面的意见；</w:t>
      </w:r>
    </w:p>
    <w:p>
      <w:pPr>
        <w:pStyle w:val="BodyText"/>
        <w:spacing w:line="307" w:lineRule="auto"/>
        <w:ind w:left="106" w:right="385" w:firstLine="636"/>
      </w:pPr>
      <w:r>
        <w:rPr/>
        <w:t>（</w:t>
      </w:r>
      <w:r>
        <w:rPr>
          <w:spacing w:val="-5"/>
        </w:rPr>
        <w:t>四</w:t>
      </w:r>
      <w:r>
        <w:rPr/>
        <w:t>）</w:t>
      </w:r>
      <w:r>
        <w:rPr>
          <w:spacing w:val="-6"/>
        </w:rPr>
        <w:t>组织法律顾问、公职律师和有关专家进行法律咨询或</w:t>
      </w:r>
      <w:r>
        <w:rPr>
          <w:spacing w:val="-5"/>
        </w:rPr>
        <w:t>者论证，听取意见和建议。</w:t>
      </w:r>
    </w:p>
    <w:p>
      <w:pPr>
        <w:pStyle w:val="BodyText"/>
        <w:spacing w:line="307" w:lineRule="auto" w:before="2"/>
        <w:ind w:left="106" w:right="388" w:firstLine="636"/>
        <w:jc w:val="both"/>
      </w:pPr>
      <w:r>
        <w:rPr>
          <w:rFonts w:ascii="文星黑体" w:eastAsia="文星黑体" w:hint="eastAsia"/>
          <w:spacing w:val="-1"/>
        </w:rPr>
        <w:t>第二十六条  </w:t>
      </w:r>
      <w:r>
        <w:rPr>
          <w:spacing w:val="-5"/>
        </w:rPr>
        <w:t>经审查，规范性文件制定主体不合法，或超越</w:t>
      </w:r>
      <w:r>
        <w:rPr>
          <w:spacing w:val="-7"/>
        </w:rPr>
        <w:t>法定权限，或与法律、法规、规章或上级规范性文件相违背，或</w:t>
      </w:r>
      <w:r>
        <w:rPr>
          <w:spacing w:val="5"/>
        </w:rPr>
        <w:t>规定不适当，或违背法定程序的，由县司法局通知制定机关在</w:t>
      </w:r>
      <w:r>
        <w:rPr>
          <w:rFonts w:ascii="Times New Roman" w:eastAsia="Times New Roman"/>
        </w:rPr>
        <w:t>30</w:t>
      </w:r>
      <w:r>
        <w:rPr>
          <w:rFonts w:ascii="Times New Roman" w:eastAsia="Times New Roman"/>
          <w:spacing w:val="12"/>
        </w:rPr>
        <w:t>   </w:t>
      </w:r>
      <w:r>
        <w:rPr>
          <w:spacing w:val="3"/>
        </w:rPr>
        <w:t>日内作出处理；逾期不处理的，由县司法局提请县政府责令</w:t>
      </w:r>
    </w:p>
    <w:p>
      <w:pPr>
        <w:spacing w:before="64"/>
        <w:ind w:left="0" w:right="39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９</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before="49"/>
        <w:ind w:left="106"/>
      </w:pPr>
      <w:r>
        <w:rPr/>
        <w:t>其改正或者依法予以撤销。</w:t>
      </w:r>
    </w:p>
    <w:p>
      <w:pPr>
        <w:pStyle w:val="BodyText"/>
        <w:spacing w:line="307" w:lineRule="auto" w:before="121"/>
        <w:ind w:left="106" w:right="388" w:firstLine="636"/>
        <w:jc w:val="both"/>
      </w:pPr>
      <w:r>
        <w:rPr>
          <w:rFonts w:ascii="文星黑体" w:eastAsia="文星黑体" w:hint="eastAsia"/>
          <w:spacing w:val="-1"/>
        </w:rPr>
        <w:t>第二十七条  </w:t>
      </w:r>
      <w:r>
        <w:rPr>
          <w:spacing w:val="-4"/>
        </w:rPr>
        <w:t>经审查，认为乡镇政府</w:t>
      </w:r>
      <w:r>
        <w:rPr/>
        <w:t>（</w:t>
      </w:r>
      <w:r>
        <w:rPr>
          <w:spacing w:val="-3"/>
        </w:rPr>
        <w:t>街道办事处</w:t>
      </w:r>
      <w:r>
        <w:rPr/>
        <w:t>）规范性</w:t>
      </w:r>
      <w:r>
        <w:rPr>
          <w:spacing w:val="-7"/>
        </w:rPr>
        <w:t>文件与县政府部门规范性文件之间，或者县政府部门规范性文件之间，对同一事项的规定不一致的，由县司法局进行协调；经协调无法达成一致意见的，提出处理意见报县政府决定，并通知制</w:t>
      </w:r>
      <w:r>
        <w:rPr>
          <w:spacing w:val="-2"/>
        </w:rPr>
        <w:t>定机关。</w:t>
      </w:r>
    </w:p>
    <w:p>
      <w:pPr>
        <w:pStyle w:val="BodyText"/>
        <w:rPr>
          <w:sz w:val="40"/>
        </w:rPr>
      </w:pPr>
    </w:p>
    <w:p>
      <w:pPr>
        <w:pStyle w:val="BodyText"/>
        <w:tabs>
          <w:tab w:pos="1257" w:val="left" w:leader="none"/>
        </w:tabs>
        <w:ind w:right="291"/>
        <w:jc w:val="center"/>
        <w:rPr>
          <w:rFonts w:ascii="文星黑体" w:eastAsia="文星黑体" w:hint="eastAsia"/>
        </w:rPr>
      </w:pPr>
      <w:r>
        <w:rPr>
          <w:rFonts w:ascii="文星黑体" w:eastAsia="文星黑体" w:hint="eastAsia"/>
        </w:rPr>
        <w:t>第</w:t>
      </w:r>
      <w:r>
        <w:rPr>
          <w:rFonts w:ascii="文星黑体" w:eastAsia="文星黑体" w:hint="eastAsia"/>
          <w:spacing w:val="-5"/>
        </w:rPr>
        <w:t>七</w:t>
      </w:r>
      <w:r>
        <w:rPr>
          <w:rFonts w:ascii="文星黑体" w:eastAsia="文星黑体" w:hint="eastAsia"/>
        </w:rPr>
        <w:t>章</w:t>
        <w:tab/>
        <w:t>后</w:t>
      </w:r>
      <w:r>
        <w:rPr>
          <w:rFonts w:ascii="文星黑体" w:eastAsia="文星黑体" w:hint="eastAsia"/>
          <w:spacing w:val="-5"/>
        </w:rPr>
        <w:t>评</w:t>
      </w:r>
      <w:r>
        <w:rPr>
          <w:rFonts w:ascii="文星黑体" w:eastAsia="文星黑体" w:hint="eastAsia"/>
        </w:rPr>
        <w:t>估</w:t>
      </w:r>
    </w:p>
    <w:p>
      <w:pPr>
        <w:pStyle w:val="BodyText"/>
        <w:spacing w:before="6"/>
        <w:rPr>
          <w:rFonts w:ascii="文星黑体"/>
          <w:sz w:val="48"/>
        </w:rPr>
      </w:pPr>
    </w:p>
    <w:p>
      <w:pPr>
        <w:pStyle w:val="BodyText"/>
        <w:spacing w:line="307" w:lineRule="auto"/>
        <w:ind w:left="106" w:right="388" w:firstLine="636"/>
        <w:jc w:val="both"/>
      </w:pPr>
      <w:r>
        <w:rPr>
          <w:rFonts w:ascii="文星黑体" w:eastAsia="文星黑体" w:hint="eastAsia"/>
        </w:rPr>
        <w:t>第二十八条 </w:t>
      </w:r>
      <w:r>
        <w:rPr>
          <w:spacing w:val="-5"/>
        </w:rPr>
        <w:t>规范性文件后评估，是指规范性文件实施后， </w:t>
      </w:r>
      <w:r>
        <w:rPr>
          <w:spacing w:val="-7"/>
        </w:rPr>
        <w:t>根据文件制定目的及经济社会发展实际，依照一定程序、标准和方法，对其制度规定、实施效果、存在问题等进行调查、分析、</w:t>
      </w:r>
      <w:r>
        <w:rPr>
          <w:spacing w:val="-6"/>
        </w:rPr>
        <w:t>评价，并提出后续意见建议的活动。</w:t>
      </w:r>
    </w:p>
    <w:p>
      <w:pPr>
        <w:pStyle w:val="BodyText"/>
        <w:spacing w:line="307" w:lineRule="auto" w:before="3"/>
        <w:ind w:left="106" w:right="393" w:firstLine="636"/>
        <w:jc w:val="both"/>
      </w:pPr>
      <w:r>
        <w:rPr>
          <w:rFonts w:ascii="文星黑体" w:eastAsia="文星黑体" w:hint="eastAsia"/>
        </w:rPr>
        <w:t>第二十九条  </w:t>
      </w:r>
      <w:r>
        <w:rPr/>
        <w:t>规范性文件主要施行部门（以下统称后评估机关）应当每 </w:t>
      </w:r>
      <w:r>
        <w:rPr>
          <w:rFonts w:ascii="Times New Roman" w:eastAsia="Times New Roman"/>
        </w:rPr>
        <w:t>2 </w:t>
      </w:r>
      <w:r>
        <w:rPr/>
        <w:t>年开展一次规范性文件后评估。</w:t>
      </w:r>
    </w:p>
    <w:p>
      <w:pPr>
        <w:pStyle w:val="BodyText"/>
        <w:tabs>
          <w:tab w:pos="1992" w:val="left" w:leader="none"/>
          <w:tab w:pos="2311" w:val="left" w:leader="none"/>
        </w:tabs>
        <w:spacing w:line="307" w:lineRule="auto" w:before="1"/>
        <w:ind w:left="106" w:right="393" w:firstLine="636"/>
        <w:jc w:val="right"/>
      </w:pPr>
      <w:r>
        <w:rPr>
          <w:rFonts w:ascii="文星黑体" w:eastAsia="文星黑体" w:hint="eastAsia"/>
        </w:rPr>
        <w:t>第</w:t>
      </w:r>
      <w:r>
        <w:rPr>
          <w:rFonts w:ascii="文星黑体" w:eastAsia="文星黑体" w:hint="eastAsia"/>
          <w:spacing w:val="-5"/>
        </w:rPr>
        <w:t>三</w:t>
      </w:r>
      <w:r>
        <w:rPr>
          <w:rFonts w:ascii="文星黑体" w:eastAsia="文星黑体" w:hint="eastAsia"/>
        </w:rPr>
        <w:t>十条</w:t>
        <w:tab/>
        <w:tab/>
      </w:r>
      <w:r>
        <w:rPr/>
        <w:t>后</w:t>
      </w:r>
      <w:r>
        <w:rPr>
          <w:spacing w:val="-5"/>
        </w:rPr>
        <w:t>评</w:t>
      </w:r>
      <w:r>
        <w:rPr/>
        <w:t>估机关</w:t>
      </w:r>
      <w:r>
        <w:rPr>
          <w:spacing w:val="-5"/>
        </w:rPr>
        <w:t>可</w:t>
      </w:r>
      <w:r>
        <w:rPr/>
        <w:t>以根</w:t>
      </w:r>
      <w:r>
        <w:rPr>
          <w:spacing w:val="-8"/>
        </w:rPr>
        <w:t>据</w:t>
      </w:r>
      <w:r>
        <w:rPr/>
        <w:t>需要</w:t>
      </w:r>
      <w:r>
        <w:rPr>
          <w:spacing w:val="-5"/>
        </w:rPr>
        <w:t>，</w:t>
      </w:r>
      <w:r>
        <w:rPr/>
        <w:t>将后评</w:t>
      </w:r>
      <w:r>
        <w:rPr>
          <w:spacing w:val="-5"/>
        </w:rPr>
        <w:t>估</w:t>
      </w:r>
      <w:r>
        <w:rPr/>
        <w:t>部分</w:t>
      </w:r>
      <w:r>
        <w:rPr>
          <w:spacing w:val="-5"/>
        </w:rPr>
        <w:t>事</w:t>
      </w:r>
      <w:r>
        <w:rPr>
          <w:spacing w:val="7"/>
        </w:rPr>
        <w:t>项</w:t>
      </w:r>
      <w:r>
        <w:rPr>
          <w:spacing w:val="-14"/>
        </w:rPr>
        <w:t>或</w:t>
      </w:r>
      <w:r>
        <w:rPr/>
        <w:t>者</w:t>
      </w:r>
      <w:r>
        <w:rPr>
          <w:spacing w:val="-5"/>
        </w:rPr>
        <w:t>全</w:t>
      </w:r>
      <w:r>
        <w:rPr/>
        <w:t>部</w:t>
      </w:r>
      <w:r>
        <w:rPr>
          <w:spacing w:val="-5"/>
        </w:rPr>
        <w:t>事</w:t>
      </w:r>
      <w:r>
        <w:rPr/>
        <w:t>项</w:t>
      </w:r>
      <w:r>
        <w:rPr>
          <w:spacing w:val="-5"/>
        </w:rPr>
        <w:t>委</w:t>
      </w:r>
      <w:r>
        <w:rPr/>
        <w:t>托</w:t>
      </w:r>
      <w:r>
        <w:rPr>
          <w:spacing w:val="-5"/>
        </w:rPr>
        <w:t>给</w:t>
      </w:r>
      <w:r>
        <w:rPr/>
        <w:t>高</w:t>
      </w:r>
      <w:r>
        <w:rPr>
          <w:spacing w:val="-5"/>
        </w:rPr>
        <w:t>等</w:t>
      </w:r>
      <w:r>
        <w:rPr/>
        <w:t>院</w:t>
      </w:r>
      <w:r>
        <w:rPr>
          <w:spacing w:val="-5"/>
        </w:rPr>
        <w:t>校</w:t>
      </w:r>
      <w:r>
        <w:rPr/>
        <w:t>、</w:t>
      </w:r>
      <w:r>
        <w:rPr>
          <w:spacing w:val="-8"/>
        </w:rPr>
        <w:t>科</w:t>
      </w:r>
      <w:r>
        <w:rPr/>
        <w:t>研</w:t>
      </w:r>
      <w:r>
        <w:rPr>
          <w:spacing w:val="-5"/>
        </w:rPr>
        <w:t>机</w:t>
      </w:r>
      <w:r>
        <w:rPr/>
        <w:t>构</w:t>
      </w:r>
      <w:r>
        <w:rPr>
          <w:spacing w:val="-5"/>
        </w:rPr>
        <w:t>、</w:t>
      </w:r>
      <w:r>
        <w:rPr/>
        <w:t>社</w:t>
      </w:r>
      <w:r>
        <w:rPr>
          <w:spacing w:val="-5"/>
        </w:rPr>
        <w:t>会</w:t>
      </w:r>
      <w:r>
        <w:rPr/>
        <w:t>中</w:t>
      </w:r>
      <w:r>
        <w:rPr>
          <w:spacing w:val="-5"/>
        </w:rPr>
        <w:t>介</w:t>
      </w:r>
      <w:r>
        <w:rPr/>
        <w:t>等</w:t>
      </w:r>
      <w:r>
        <w:rPr>
          <w:spacing w:val="-8"/>
        </w:rPr>
        <w:t>组</w:t>
      </w:r>
      <w:r>
        <w:rPr/>
        <w:t>织</w:t>
      </w:r>
      <w:r>
        <w:rPr>
          <w:spacing w:val="-5"/>
        </w:rPr>
        <w:t>开</w:t>
      </w:r>
      <w:r>
        <w:rPr/>
        <w:t>展。</w:t>
      </w:r>
      <w:r>
        <w:rPr>
          <w:rFonts w:ascii="文星黑体" w:eastAsia="文星黑体" w:hint="eastAsia"/>
        </w:rPr>
        <w:t>第</w:t>
      </w:r>
      <w:r>
        <w:rPr>
          <w:rFonts w:ascii="文星黑体" w:eastAsia="文星黑体" w:hint="eastAsia"/>
          <w:spacing w:val="-5"/>
        </w:rPr>
        <w:t>三</w:t>
      </w:r>
      <w:r>
        <w:rPr>
          <w:rFonts w:ascii="文星黑体" w:eastAsia="文星黑体" w:hint="eastAsia"/>
        </w:rPr>
        <w:t>十一条</w:t>
        <w:tab/>
      </w:r>
      <w:r>
        <w:rPr/>
        <w:t>后</w:t>
      </w:r>
      <w:r>
        <w:rPr>
          <w:spacing w:val="-5"/>
        </w:rPr>
        <w:t>评</w:t>
      </w:r>
      <w:r>
        <w:rPr/>
        <w:t>估可以</w:t>
      </w:r>
      <w:r>
        <w:rPr>
          <w:spacing w:val="-5"/>
        </w:rPr>
        <w:t>采</w:t>
      </w:r>
      <w:r>
        <w:rPr/>
        <w:t>取问</w:t>
      </w:r>
      <w:r>
        <w:rPr>
          <w:spacing w:val="-8"/>
        </w:rPr>
        <w:t>卷</w:t>
      </w:r>
      <w:r>
        <w:rPr/>
        <w:t>调查</w:t>
      </w:r>
      <w:r>
        <w:rPr>
          <w:spacing w:val="-5"/>
        </w:rPr>
        <w:t>、</w:t>
      </w:r>
      <w:r>
        <w:rPr/>
        <w:t>实地调</w:t>
      </w:r>
      <w:r>
        <w:rPr>
          <w:spacing w:val="-5"/>
        </w:rPr>
        <w:t>研</w:t>
      </w:r>
      <w:r>
        <w:rPr/>
        <w:t>、专家咨</w:t>
      </w:r>
    </w:p>
    <w:p>
      <w:pPr>
        <w:pStyle w:val="BodyText"/>
        <w:spacing w:before="4"/>
        <w:ind w:left="106"/>
      </w:pPr>
      <w:r>
        <w:rPr/>
        <w:t>询、案例分析、现场访谈等方式开展。</w:t>
      </w:r>
    </w:p>
    <w:p>
      <w:pPr>
        <w:pStyle w:val="BodyText"/>
        <w:tabs>
          <w:tab w:pos="2628" w:val="left" w:leader="none"/>
        </w:tabs>
        <w:spacing w:line="307" w:lineRule="auto" w:before="121"/>
        <w:ind w:left="106" w:right="393" w:firstLine="636"/>
      </w:pPr>
      <w:r>
        <w:rPr>
          <w:rFonts w:ascii="文星黑体" w:eastAsia="文星黑体" w:hint="eastAsia"/>
        </w:rPr>
        <w:t>第</w:t>
      </w:r>
      <w:r>
        <w:rPr>
          <w:rFonts w:ascii="文星黑体" w:eastAsia="文星黑体" w:hint="eastAsia"/>
          <w:spacing w:val="-5"/>
        </w:rPr>
        <w:t>三</w:t>
      </w:r>
      <w:r>
        <w:rPr>
          <w:rFonts w:ascii="文星黑体" w:eastAsia="文星黑体" w:hint="eastAsia"/>
        </w:rPr>
        <w:t>十二条</w:t>
        <w:tab/>
      </w:r>
      <w:r>
        <w:rPr/>
        <w:t>后</w:t>
      </w:r>
      <w:r>
        <w:rPr>
          <w:spacing w:val="-5"/>
        </w:rPr>
        <w:t>评</w:t>
      </w:r>
      <w:r>
        <w:rPr/>
        <w:t>估机关</w:t>
      </w:r>
      <w:r>
        <w:rPr>
          <w:spacing w:val="-5"/>
        </w:rPr>
        <w:t>应</w:t>
      </w:r>
      <w:r>
        <w:rPr/>
        <w:t>当制</w:t>
      </w:r>
      <w:r>
        <w:rPr>
          <w:spacing w:val="-8"/>
        </w:rPr>
        <w:t>作</w:t>
      </w:r>
      <w:r>
        <w:rPr/>
        <w:t>后评</w:t>
      </w:r>
      <w:r>
        <w:rPr>
          <w:spacing w:val="-5"/>
        </w:rPr>
        <w:t>估</w:t>
      </w:r>
      <w:r>
        <w:rPr/>
        <w:t>报告。</w:t>
      </w:r>
      <w:r>
        <w:rPr>
          <w:spacing w:val="-5"/>
        </w:rPr>
        <w:t>后</w:t>
      </w:r>
      <w:r>
        <w:rPr/>
        <w:t>评估报</w:t>
      </w:r>
      <w:r>
        <w:rPr>
          <w:spacing w:val="-14"/>
        </w:rPr>
        <w:t>告</w:t>
      </w:r>
      <w:r>
        <w:rPr/>
        <w:t>的</w:t>
      </w:r>
      <w:r>
        <w:rPr>
          <w:spacing w:val="-5"/>
        </w:rPr>
        <w:t>内</w:t>
      </w:r>
      <w:r>
        <w:rPr/>
        <w:t>容</w:t>
      </w:r>
      <w:r>
        <w:rPr>
          <w:spacing w:val="-5"/>
        </w:rPr>
        <w:t>包</w:t>
      </w:r>
      <w:r>
        <w:rPr/>
        <w:t>括：</w:t>
      </w:r>
    </w:p>
    <w:p>
      <w:pPr>
        <w:pStyle w:val="BodyText"/>
        <w:spacing w:before="1"/>
        <w:ind w:left="742"/>
      </w:pPr>
      <w:r>
        <w:rPr/>
        <w:t>（一）后评估工作基本情况；</w:t>
      </w:r>
    </w:p>
    <w:p>
      <w:pPr>
        <w:pStyle w:val="BodyText"/>
        <w:spacing w:before="123"/>
        <w:ind w:left="742"/>
      </w:pPr>
      <w:r>
        <w:rPr/>
        <w:t>（二）主要制度措施分析、重点问题论证情况；</w:t>
      </w:r>
    </w:p>
    <w:p>
      <w:pPr>
        <w:spacing w:before="182"/>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１０</w:t>
      </w:r>
      <w:r>
        <w:rPr>
          <w:rFonts w:ascii="新宋体" w:eastAsia="新宋体" w:hint="eastAsia"/>
          <w:spacing w:val="-66"/>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line="307" w:lineRule="auto" w:before="49"/>
        <w:ind w:left="106" w:right="385" w:firstLine="636"/>
        <w:jc w:val="both"/>
      </w:pPr>
      <w:r>
        <w:rPr>
          <w:spacing w:val="12"/>
        </w:rPr>
        <w:t>（三）</w:t>
      </w:r>
      <w:r>
        <w:rPr>
          <w:spacing w:val="10"/>
        </w:rPr>
        <w:t>后评估结论，包括规范性文件的执行效果、执行成</w:t>
      </w:r>
      <w:r>
        <w:rPr>
          <w:spacing w:val="-6"/>
        </w:rPr>
        <w:t>本、社会反映、存在的主要问题，以及继续有效、修订、废止等</w:t>
      </w:r>
      <w:r>
        <w:rPr>
          <w:spacing w:val="-4"/>
        </w:rPr>
        <w:t>相关建议；</w:t>
      </w:r>
    </w:p>
    <w:p>
      <w:pPr>
        <w:pStyle w:val="BodyText"/>
        <w:spacing w:before="1"/>
        <w:ind w:left="742"/>
      </w:pPr>
      <w:r>
        <w:rPr/>
        <w:t>（四）其他有关情况。</w:t>
      </w:r>
    </w:p>
    <w:p>
      <w:pPr>
        <w:pStyle w:val="BodyText"/>
        <w:tabs>
          <w:tab w:pos="2628" w:val="left" w:leader="none"/>
        </w:tabs>
        <w:spacing w:before="123"/>
        <w:ind w:left="742"/>
      </w:pPr>
      <w:r>
        <w:rPr>
          <w:rFonts w:ascii="文星黑体" w:eastAsia="文星黑体" w:hint="eastAsia"/>
        </w:rPr>
        <w:t>第</w:t>
      </w:r>
      <w:r>
        <w:rPr>
          <w:rFonts w:ascii="文星黑体" w:eastAsia="文星黑体" w:hint="eastAsia"/>
          <w:spacing w:val="-5"/>
        </w:rPr>
        <w:t>三</w:t>
      </w:r>
      <w:r>
        <w:rPr>
          <w:rFonts w:ascii="文星黑体" w:eastAsia="文星黑体" w:hint="eastAsia"/>
        </w:rPr>
        <w:t>十三条</w:t>
        <w:tab/>
      </w:r>
      <w:r>
        <w:rPr/>
        <w:t>后</w:t>
      </w:r>
      <w:r>
        <w:rPr>
          <w:spacing w:val="-5"/>
        </w:rPr>
        <w:t>评</w:t>
      </w:r>
      <w:r>
        <w:rPr/>
        <w:t>估结果</w:t>
      </w:r>
      <w:r>
        <w:rPr>
          <w:spacing w:val="-5"/>
        </w:rPr>
        <w:t>应</w:t>
      </w:r>
      <w:r>
        <w:rPr/>
        <w:t>当作</w:t>
      </w:r>
      <w:r>
        <w:rPr>
          <w:spacing w:val="-8"/>
        </w:rPr>
        <w:t>为</w:t>
      </w:r>
      <w:r>
        <w:rPr/>
        <w:t>清理</w:t>
      </w:r>
      <w:r>
        <w:rPr>
          <w:spacing w:val="-5"/>
        </w:rPr>
        <w:t>规</w:t>
      </w:r>
      <w:r>
        <w:rPr/>
        <w:t>范性文</w:t>
      </w:r>
      <w:r>
        <w:rPr>
          <w:spacing w:val="-5"/>
        </w:rPr>
        <w:t>件</w:t>
      </w:r>
      <w:r>
        <w:rPr/>
        <w:t>的重要依</w:t>
      </w:r>
    </w:p>
    <w:p>
      <w:pPr>
        <w:pStyle w:val="BodyText"/>
        <w:spacing w:before="121"/>
        <w:ind w:left="106"/>
      </w:pPr>
      <w:r>
        <w:rPr/>
        <w:t>据。</w:t>
      </w:r>
    </w:p>
    <w:p>
      <w:pPr>
        <w:pStyle w:val="BodyText"/>
        <w:rPr>
          <w:sz w:val="20"/>
        </w:rPr>
      </w:pPr>
    </w:p>
    <w:p>
      <w:pPr>
        <w:pStyle w:val="BodyText"/>
        <w:spacing w:before="2"/>
        <w:rPr>
          <w:sz w:val="25"/>
        </w:rPr>
      </w:pPr>
    </w:p>
    <w:p>
      <w:pPr>
        <w:pStyle w:val="BodyText"/>
        <w:tabs>
          <w:tab w:pos="1257" w:val="left" w:leader="none"/>
          <w:tab w:pos="1888" w:val="left" w:leader="none"/>
        </w:tabs>
        <w:spacing w:before="47"/>
        <w:ind w:right="291"/>
        <w:jc w:val="center"/>
        <w:rPr>
          <w:rFonts w:ascii="文星黑体" w:eastAsia="文星黑体" w:hint="eastAsia"/>
        </w:rPr>
      </w:pPr>
      <w:r>
        <w:rPr>
          <w:rFonts w:ascii="文星黑体" w:eastAsia="文星黑体" w:hint="eastAsia"/>
        </w:rPr>
        <w:t>第</w:t>
      </w:r>
      <w:r>
        <w:rPr>
          <w:rFonts w:ascii="文星黑体" w:eastAsia="文星黑体" w:hint="eastAsia"/>
          <w:spacing w:val="-5"/>
        </w:rPr>
        <w:t>八</w:t>
      </w:r>
      <w:r>
        <w:rPr>
          <w:rFonts w:ascii="文星黑体" w:eastAsia="文星黑体" w:hint="eastAsia"/>
        </w:rPr>
        <w:t>章</w:t>
        <w:tab/>
        <w:t>附</w:t>
        <w:tab/>
        <w:t>则</w:t>
      </w:r>
    </w:p>
    <w:p>
      <w:pPr>
        <w:pStyle w:val="BodyText"/>
        <w:spacing w:before="6"/>
        <w:rPr>
          <w:rFonts w:ascii="文星黑体"/>
          <w:sz w:val="48"/>
        </w:rPr>
      </w:pPr>
    </w:p>
    <w:p>
      <w:pPr>
        <w:pStyle w:val="BodyText"/>
        <w:tabs>
          <w:tab w:pos="2674" w:val="left" w:leader="none"/>
        </w:tabs>
        <w:ind w:left="742"/>
      </w:pPr>
      <w:r>
        <w:rPr>
          <w:rFonts w:ascii="文星黑体" w:eastAsia="文星黑体" w:hint="eastAsia"/>
        </w:rPr>
        <w:t>第</w:t>
      </w:r>
      <w:r>
        <w:rPr>
          <w:rFonts w:ascii="文星黑体" w:eastAsia="文星黑体" w:hint="eastAsia"/>
          <w:spacing w:val="-5"/>
        </w:rPr>
        <w:t>三</w:t>
      </w:r>
      <w:r>
        <w:rPr>
          <w:rFonts w:ascii="文星黑体" w:eastAsia="文星黑体" w:hint="eastAsia"/>
        </w:rPr>
        <w:t>十四条</w:t>
        <w:tab/>
      </w:r>
      <w:r>
        <w:rPr>
          <w:spacing w:val="12"/>
        </w:rPr>
        <w:t>本</w:t>
      </w:r>
      <w:r>
        <w:rPr>
          <w:spacing w:val="7"/>
        </w:rPr>
        <w:t>办</w:t>
      </w:r>
      <w:r>
        <w:rPr>
          <w:spacing w:val="12"/>
        </w:rPr>
        <w:t>法自</w:t>
      </w:r>
      <w:r>
        <w:rPr>
          <w:rFonts w:ascii="Times New Roman" w:eastAsia="Times New Roman"/>
        </w:rPr>
        <w:t>2020</w:t>
      </w:r>
      <w:r>
        <w:rPr>
          <w:rFonts w:ascii="Times New Roman" w:eastAsia="Times New Roman"/>
          <w:spacing w:val="24"/>
        </w:rPr>
        <w:t> </w:t>
      </w:r>
      <w:r>
        <w:rPr>
          <w:spacing w:val="12"/>
        </w:rPr>
        <w:t>年</w:t>
      </w:r>
      <w:r>
        <w:rPr>
          <w:rFonts w:ascii="Times New Roman" w:eastAsia="Times New Roman"/>
        </w:rPr>
        <w:t>2</w:t>
      </w:r>
      <w:r>
        <w:rPr>
          <w:rFonts w:ascii="Times New Roman" w:eastAsia="Times New Roman"/>
          <w:spacing w:val="30"/>
        </w:rPr>
        <w:t> </w:t>
      </w:r>
      <w:r>
        <w:rPr>
          <w:spacing w:val="12"/>
        </w:rPr>
        <w:t>月</w:t>
      </w:r>
      <w:r>
        <w:rPr>
          <w:rFonts w:ascii="Times New Roman" w:eastAsia="Times New Roman"/>
          <w:spacing w:val="-3"/>
        </w:rPr>
        <w:t>28</w:t>
      </w:r>
      <w:r>
        <w:rPr>
          <w:rFonts w:ascii="Times New Roman" w:eastAsia="Times New Roman"/>
          <w:spacing w:val="28"/>
        </w:rPr>
        <w:t> </w:t>
      </w:r>
      <w:r>
        <w:rPr>
          <w:spacing w:val="12"/>
        </w:rPr>
        <w:t>日</w:t>
      </w:r>
      <w:r>
        <w:rPr>
          <w:spacing w:val="7"/>
        </w:rPr>
        <w:t>起</w:t>
      </w:r>
      <w:r>
        <w:rPr>
          <w:spacing w:val="12"/>
        </w:rPr>
        <w:t>施</w:t>
      </w:r>
      <w:r>
        <w:rPr>
          <w:spacing w:val="11"/>
        </w:rPr>
        <w:t>行</w:t>
      </w:r>
      <w:r>
        <w:rPr>
          <w:spacing w:val="7"/>
        </w:rPr>
        <w:t>，</w:t>
      </w:r>
      <w:r>
        <w:rPr>
          <w:spacing w:val="12"/>
        </w:rPr>
        <w:t>有效期</w:t>
      </w:r>
      <w:r>
        <w:rPr/>
        <w:t>至</w:t>
      </w:r>
    </w:p>
    <w:p>
      <w:pPr>
        <w:pStyle w:val="BodyText"/>
        <w:spacing w:before="123"/>
        <w:ind w:left="106"/>
      </w:pPr>
      <w:r>
        <w:rPr>
          <w:rFonts w:ascii="Times New Roman" w:eastAsia="Times New Roman"/>
        </w:rPr>
        <w:t>2023 </w:t>
      </w:r>
      <w:r>
        <w:rPr/>
        <w:t>年 </w:t>
      </w:r>
      <w:r>
        <w:rPr>
          <w:rFonts w:ascii="Times New Roman" w:eastAsia="Times New Roman"/>
        </w:rPr>
        <w:t>2 </w:t>
      </w:r>
      <w:r>
        <w:rPr/>
        <w:t>月 </w:t>
      </w:r>
      <w:r>
        <w:rPr>
          <w:rFonts w:ascii="Times New Roman" w:eastAsia="Times New Roman"/>
        </w:rPr>
        <w:t>27 </w:t>
      </w:r>
      <w:r>
        <w:rPr/>
        <w:t>日。</w:t>
      </w:r>
    </w:p>
    <w:p>
      <w:pPr>
        <w:pStyle w:val="BodyText"/>
        <w:rPr>
          <w:sz w:val="20"/>
        </w:rPr>
      </w:pPr>
    </w:p>
    <w:p>
      <w:pPr>
        <w:pStyle w:val="BodyText"/>
        <w:spacing w:before="13"/>
        <w:rPr>
          <w:sz w:val="22"/>
        </w:rPr>
      </w:pPr>
    </w:p>
    <w:p>
      <w:pPr>
        <w:pStyle w:val="BodyText"/>
        <w:spacing w:before="78"/>
        <w:ind w:right="2785"/>
        <w:jc w:val="right"/>
      </w:pPr>
      <w:r>
        <w:rPr>
          <w:spacing w:val="-2"/>
        </w:rPr>
        <w:t>附件：</w:t>
      </w:r>
      <w:r>
        <w:rPr>
          <w:rFonts w:ascii="Times New Roman" w:hAnsi="Times New Roman" w:eastAsia="Times New Roman"/>
        </w:rPr>
        <w:t>1</w:t>
      </w:r>
      <w:r>
        <w:rPr>
          <w:spacing w:val="-6"/>
        </w:rPr>
        <w:t>．关于《</w:t>
      </w:r>
      <w:r>
        <w:rPr>
          <w:rFonts w:ascii="宋体" w:hAnsi="宋体" w:eastAsia="宋体" w:hint="eastAsia"/>
          <w:spacing w:val="-3"/>
        </w:rPr>
        <w:t>×××××</w:t>
      </w:r>
      <w:r>
        <w:rPr>
          <w:spacing w:val="-3"/>
        </w:rPr>
        <w:t>》的备案报告</w:t>
      </w:r>
    </w:p>
    <w:p>
      <w:pPr>
        <w:pStyle w:val="ListParagraph"/>
        <w:numPr>
          <w:ilvl w:val="0"/>
          <w:numId w:val="1"/>
        </w:numPr>
        <w:tabs>
          <w:tab w:pos="477" w:val="left" w:leader="none"/>
        </w:tabs>
        <w:spacing w:line="240" w:lineRule="auto" w:before="121" w:after="0"/>
        <w:ind w:left="2164" w:right="2778" w:hanging="2165"/>
        <w:jc w:val="right"/>
        <w:rPr>
          <w:sz w:val="31"/>
        </w:rPr>
      </w:pPr>
      <w:r>
        <w:rPr>
          <w:spacing w:val="-6"/>
          <w:sz w:val="31"/>
        </w:rPr>
        <w:t>关于《</w:t>
      </w:r>
      <w:r>
        <w:rPr>
          <w:rFonts w:ascii="宋体" w:hAnsi="宋体" w:eastAsia="宋体" w:hint="eastAsia"/>
          <w:spacing w:val="-3"/>
          <w:sz w:val="31"/>
        </w:rPr>
        <w:t>×××××</w:t>
      </w:r>
      <w:r>
        <w:rPr>
          <w:spacing w:val="-3"/>
          <w:sz w:val="31"/>
        </w:rPr>
        <w:t>》的起草说明</w:t>
      </w:r>
    </w:p>
    <w:p>
      <w:pPr>
        <w:pStyle w:val="ListParagraph"/>
        <w:numPr>
          <w:ilvl w:val="0"/>
          <w:numId w:val="1"/>
        </w:numPr>
        <w:tabs>
          <w:tab w:pos="2160" w:val="left" w:leader="none"/>
        </w:tabs>
        <w:spacing w:line="240" w:lineRule="auto" w:before="123" w:after="0"/>
        <w:ind w:left="2159" w:right="157" w:hanging="2160"/>
        <w:jc w:val="left"/>
        <w:rPr>
          <w:sz w:val="31"/>
        </w:rPr>
      </w:pPr>
      <w:r>
        <w:rPr>
          <w:spacing w:val="-6"/>
          <w:sz w:val="31"/>
        </w:rPr>
        <w:t>关于《</w:t>
      </w:r>
      <w:r>
        <w:rPr>
          <w:rFonts w:ascii="宋体" w:hAnsi="宋体" w:eastAsia="宋体" w:hint="eastAsia"/>
          <w:spacing w:val="-3"/>
          <w:sz w:val="31"/>
        </w:rPr>
        <w:t>×××××</w:t>
      </w:r>
      <w:r>
        <w:rPr>
          <w:spacing w:val="-5"/>
          <w:sz w:val="31"/>
        </w:rPr>
        <w:t>》的合法性审核意见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spacing w:before="60"/>
        <w:ind w:left="0" w:right="114" w:firstLine="0"/>
        <w:jc w:val="right"/>
        <w:rPr>
          <w:rFonts w:ascii="新宋体" w:eastAsia="新宋体" w:hint="eastAsia"/>
          <w:sz w:val="28"/>
        </w:rPr>
      </w:pPr>
      <w:r>
        <w:rPr>
          <w:rFonts w:ascii="新宋体" w:eastAsia="新宋体" w:hint="eastAsia"/>
          <w:sz w:val="28"/>
        </w:rPr>
        <w:t>－</w:t>
      </w:r>
      <w:r>
        <w:rPr>
          <w:rFonts w:ascii="新宋体" w:eastAsia="新宋体" w:hint="eastAsia"/>
          <w:spacing w:val="-72"/>
          <w:sz w:val="28"/>
        </w:rPr>
        <w:t> </w:t>
      </w:r>
      <w:r>
        <w:rPr>
          <w:rFonts w:ascii="新宋体" w:eastAsia="新宋体" w:hint="eastAsia"/>
          <w:sz w:val="28"/>
        </w:rPr>
        <w:t>１１</w:t>
      </w:r>
      <w:r>
        <w:rPr>
          <w:rFonts w:ascii="新宋体" w:eastAsia="新宋体" w:hint="eastAsia"/>
          <w:spacing w:val="-69"/>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5"/>
        <w:rPr>
          <w:rFonts w:ascii="新宋体"/>
          <w:sz w:val="15"/>
        </w:rPr>
      </w:pPr>
    </w:p>
    <w:p>
      <w:pPr>
        <w:pStyle w:val="BodyText"/>
        <w:spacing w:before="77"/>
        <w:ind w:left="106"/>
        <w:rPr>
          <w:rFonts w:ascii="Times New Roman" w:eastAsia="Times New Roman"/>
        </w:rPr>
      </w:pPr>
      <w:r>
        <w:rPr>
          <w:rFonts w:ascii="文星黑体" w:eastAsia="文星黑体" w:hint="eastAsia"/>
        </w:rPr>
        <w:t>附件 </w:t>
      </w:r>
      <w:r>
        <w:rPr>
          <w:rFonts w:ascii="Times New Roman" w:eastAsia="Times New Roman"/>
        </w:rPr>
        <w:t>1</w:t>
      </w:r>
    </w:p>
    <w:p>
      <w:pPr>
        <w:pStyle w:val="BodyText"/>
        <w:rPr>
          <w:rFonts w:ascii="Times New Roman"/>
          <w:sz w:val="20"/>
        </w:rPr>
      </w:pPr>
    </w:p>
    <w:p>
      <w:pPr>
        <w:pStyle w:val="BodyText"/>
        <w:rPr>
          <w:rFonts w:ascii="Times New Roman"/>
          <w:sz w:val="20"/>
        </w:rPr>
      </w:pPr>
    </w:p>
    <w:p>
      <w:pPr>
        <w:pStyle w:val="BodyText"/>
        <w:rPr>
          <w:rFonts w:ascii="Times New Roman"/>
          <w:sz w:val="27"/>
        </w:rPr>
      </w:pPr>
    </w:p>
    <w:p>
      <w:pPr>
        <w:pStyle w:val="Heading1"/>
        <w:spacing w:line="722" w:lineRule="exact"/>
      </w:pPr>
      <w:r>
        <w:rPr/>
        <w:t>关于《×××××》的备案报告</w:t>
      </w:r>
    </w:p>
    <w:p>
      <w:pPr>
        <w:pStyle w:val="BodyText"/>
        <w:rPr>
          <w:rFonts w:ascii="方正小标宋简体"/>
          <w:sz w:val="36"/>
        </w:rPr>
      </w:pPr>
    </w:p>
    <w:p>
      <w:pPr>
        <w:pStyle w:val="BodyText"/>
        <w:ind w:left="106"/>
      </w:pPr>
      <w:r>
        <w:rPr/>
        <w:t>县政府：</w:t>
      </w:r>
    </w:p>
    <w:p>
      <w:pPr>
        <w:pStyle w:val="BodyText"/>
        <w:spacing w:line="314" w:lineRule="auto" w:before="133"/>
        <w:ind w:left="106" w:right="381" w:firstLine="636"/>
        <w:jc w:val="both"/>
      </w:pPr>
      <w:r>
        <w:rPr>
          <w:spacing w:val="-3"/>
        </w:rPr>
        <w:t>现将</w:t>
      </w:r>
      <w:r>
        <w:rPr>
          <w:rFonts w:ascii="宋体" w:hAnsi="宋体" w:eastAsia="宋体" w:hint="eastAsia"/>
        </w:rPr>
        <w:t>××</w:t>
      </w:r>
      <w:r>
        <w:rPr/>
        <w:t>（报备机关名称</w:t>
      </w:r>
      <w:r>
        <w:rPr>
          <w:spacing w:val="-5"/>
        </w:rPr>
        <w:t>）</w:t>
      </w:r>
      <w:r>
        <w:rPr>
          <w:rFonts w:ascii="宋体" w:hAnsi="宋体" w:eastAsia="宋体" w:hint="eastAsia"/>
          <w:spacing w:val="-5"/>
        </w:rPr>
        <w:t>××</w:t>
      </w:r>
      <w:r>
        <w:rPr/>
        <w:t>年</w:t>
      </w:r>
      <w:r>
        <w:rPr>
          <w:rFonts w:ascii="宋体" w:hAnsi="宋体" w:eastAsia="宋体" w:hint="eastAsia"/>
        </w:rPr>
        <w:t>××</w:t>
      </w:r>
      <w:r>
        <w:rPr/>
        <w:t>月</w:t>
      </w:r>
      <w:r>
        <w:rPr>
          <w:rFonts w:ascii="宋体" w:hAnsi="宋体" w:eastAsia="宋体" w:hint="eastAsia"/>
          <w:spacing w:val="-3"/>
        </w:rPr>
        <w:t>××</w:t>
      </w:r>
      <w:r>
        <w:rPr>
          <w:spacing w:val="-1"/>
        </w:rPr>
        <w:t>日公布，</w:t>
      </w:r>
      <w:r>
        <w:rPr>
          <w:rFonts w:ascii="宋体" w:hAnsi="宋体" w:eastAsia="宋体" w:hint="eastAsia"/>
          <w:spacing w:val="-6"/>
        </w:rPr>
        <w:t>×× </w:t>
      </w:r>
      <w:r>
        <w:rPr>
          <w:spacing w:val="7"/>
        </w:rPr>
        <w:t>年</w:t>
      </w:r>
      <w:r>
        <w:rPr>
          <w:rFonts w:ascii="宋体" w:hAnsi="宋体" w:eastAsia="宋体" w:hint="eastAsia"/>
          <w:spacing w:val="3"/>
        </w:rPr>
        <w:t>××</w:t>
      </w:r>
      <w:r>
        <w:rPr>
          <w:spacing w:val="4"/>
        </w:rPr>
        <w:t>月</w:t>
      </w:r>
      <w:r>
        <w:rPr>
          <w:rFonts w:ascii="宋体" w:hAnsi="宋体" w:eastAsia="宋体" w:hint="eastAsia"/>
          <w:spacing w:val="3"/>
        </w:rPr>
        <w:t>××</w:t>
      </w:r>
      <w:r>
        <w:rPr>
          <w:spacing w:val="5"/>
        </w:rPr>
        <w:t>日起施行的《</w:t>
      </w:r>
      <w:r>
        <w:rPr>
          <w:rFonts w:ascii="宋体" w:hAnsi="宋体" w:eastAsia="宋体" w:hint="eastAsia"/>
          <w:spacing w:val="6"/>
        </w:rPr>
        <w:t>×××××</w:t>
      </w:r>
      <w:r>
        <w:rPr>
          <w:spacing w:val="-147"/>
        </w:rPr>
        <w:t>》</w:t>
      </w:r>
      <w:r>
        <w:rPr/>
        <w:t>（</w:t>
      </w:r>
      <w:r>
        <w:rPr>
          <w:rFonts w:ascii="宋体" w:hAnsi="宋体" w:eastAsia="宋体" w:hint="eastAsia"/>
        </w:rPr>
        <w:t>××</w:t>
      </w:r>
      <w:r>
        <w:rPr>
          <w:spacing w:val="7"/>
        </w:rPr>
        <w:t>〔</w:t>
      </w:r>
      <w:r>
        <w:rPr>
          <w:rFonts w:ascii="宋体" w:hAnsi="宋体" w:eastAsia="宋体" w:hint="eastAsia"/>
          <w:spacing w:val="4"/>
        </w:rPr>
        <w:t>××××</w:t>
      </w:r>
      <w:r>
        <w:rPr>
          <w:spacing w:val="7"/>
        </w:rPr>
        <w:t>〕</w:t>
      </w:r>
      <w:r>
        <w:rPr>
          <w:rFonts w:ascii="宋体" w:hAnsi="宋体" w:eastAsia="宋体" w:hint="eastAsia"/>
        </w:rPr>
        <w:t>× </w:t>
      </w:r>
      <w:r>
        <w:rPr/>
        <w:t>号</w:t>
      </w:r>
      <w:r>
        <w:rPr>
          <w:spacing w:val="-5"/>
        </w:rPr>
        <w:t>）</w:t>
      </w:r>
      <w:r>
        <w:rPr>
          <w:spacing w:val="-7"/>
        </w:rPr>
        <w:t>正式文本、起草说明和合法性审核意见一式两份报请备案。</w:t>
      </w:r>
    </w:p>
    <w:p>
      <w:pPr>
        <w:pStyle w:val="BodyText"/>
        <w:rPr>
          <w:sz w:val="36"/>
        </w:rPr>
      </w:pPr>
    </w:p>
    <w:p>
      <w:pPr>
        <w:pStyle w:val="BodyText"/>
        <w:spacing w:before="12"/>
        <w:rPr>
          <w:sz w:val="44"/>
        </w:rPr>
      </w:pPr>
    </w:p>
    <w:p>
      <w:pPr>
        <w:pStyle w:val="BodyText"/>
        <w:ind w:left="5230"/>
      </w:pPr>
      <w:r>
        <w:rPr/>
        <w:t>报备机关（印章）</w:t>
      </w:r>
    </w:p>
    <w:p>
      <w:pPr>
        <w:pStyle w:val="BodyText"/>
        <w:spacing w:before="133"/>
        <w:ind w:left="5072"/>
      </w:pPr>
      <w:r>
        <w:rPr>
          <w:rFonts w:ascii="宋体" w:hAnsi="宋体" w:eastAsia="宋体" w:hint="eastAsia"/>
        </w:rPr>
        <w:t>××</w:t>
      </w:r>
      <w:r>
        <w:rPr/>
        <w:t>年</w:t>
      </w:r>
      <w:r>
        <w:rPr>
          <w:rFonts w:ascii="宋体" w:hAnsi="宋体" w:eastAsia="宋体" w:hint="eastAsia"/>
        </w:rPr>
        <w:t>××</w:t>
      </w:r>
      <w:r>
        <w:rPr/>
        <w:t>月</w:t>
      </w:r>
      <w:r>
        <w:rPr>
          <w:rFonts w:ascii="宋体" w:hAnsi="宋体" w:eastAsia="宋体" w:hint="eastAsia"/>
        </w:rPr>
        <w:t>××</w:t>
      </w:r>
      <w:r>
        <w:rPr/>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5"/>
        </w:rPr>
      </w:pPr>
    </w:p>
    <w:p>
      <w:pPr>
        <w:spacing w:before="59"/>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１２</w:t>
      </w:r>
      <w:r>
        <w:rPr>
          <w:rFonts w:ascii="新宋体" w:eastAsia="新宋体" w:hint="eastAsia"/>
          <w:spacing w:val="-66"/>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5"/>
        <w:rPr>
          <w:rFonts w:ascii="新宋体"/>
          <w:sz w:val="15"/>
        </w:rPr>
      </w:pPr>
    </w:p>
    <w:p>
      <w:pPr>
        <w:pStyle w:val="BodyText"/>
        <w:spacing w:before="77"/>
        <w:ind w:left="106"/>
        <w:rPr>
          <w:rFonts w:ascii="Times New Roman" w:eastAsia="Times New Roman"/>
        </w:rPr>
      </w:pPr>
      <w:r>
        <w:rPr>
          <w:rFonts w:ascii="文星黑体" w:eastAsia="文星黑体" w:hint="eastAsia"/>
        </w:rPr>
        <w:t>附件</w:t>
      </w:r>
      <w:r>
        <w:rPr>
          <w:rFonts w:ascii="Times New Roman" w:eastAsia="Times New Roman"/>
        </w:rPr>
        <w:t>2</w:t>
      </w:r>
    </w:p>
    <w:p>
      <w:pPr>
        <w:pStyle w:val="BodyText"/>
        <w:rPr>
          <w:rFonts w:ascii="Times New Roman"/>
          <w:sz w:val="20"/>
        </w:rPr>
      </w:pPr>
    </w:p>
    <w:p>
      <w:pPr>
        <w:pStyle w:val="BodyText"/>
        <w:rPr>
          <w:rFonts w:ascii="Times New Roman"/>
          <w:sz w:val="20"/>
        </w:rPr>
      </w:pPr>
    </w:p>
    <w:p>
      <w:pPr>
        <w:pStyle w:val="Heading1"/>
        <w:spacing w:before="118"/>
      </w:pPr>
      <w:r>
        <w:rPr/>
        <w:t>关于《×××××》的起草说明</w:t>
      </w:r>
    </w:p>
    <w:p>
      <w:pPr>
        <w:pStyle w:val="BodyText"/>
        <w:spacing w:before="12"/>
        <w:rPr>
          <w:rFonts w:ascii="方正小标宋简体"/>
          <w:sz w:val="34"/>
        </w:rPr>
      </w:pPr>
    </w:p>
    <w:p>
      <w:pPr>
        <w:pStyle w:val="BodyText"/>
        <w:spacing w:line="307" w:lineRule="auto"/>
        <w:ind w:left="106" w:right="388" w:firstLine="636"/>
      </w:pPr>
      <w:r>
        <w:rPr>
          <w:spacing w:val="-4"/>
        </w:rPr>
        <w:t>现将《</w:t>
      </w:r>
      <w:r>
        <w:rPr>
          <w:rFonts w:ascii="宋体" w:hAnsi="宋体" w:eastAsia="宋体" w:hint="eastAsia"/>
          <w:spacing w:val="-3"/>
        </w:rPr>
        <w:t>×××××</w:t>
      </w:r>
      <w:r>
        <w:rPr>
          <w:spacing w:val="-159"/>
        </w:rPr>
        <w:t>》</w:t>
      </w:r>
      <w:r>
        <w:rPr>
          <w:spacing w:val="-7"/>
        </w:rPr>
        <w:t>（</w:t>
      </w:r>
      <w:r>
        <w:rPr>
          <w:rFonts w:ascii="宋体" w:hAnsi="宋体" w:eastAsia="宋体" w:hint="eastAsia"/>
          <w:spacing w:val="-7"/>
        </w:rPr>
        <w:t>××</w:t>
      </w:r>
      <w:r>
        <w:rPr>
          <w:spacing w:val="-8"/>
        </w:rPr>
        <w:t>〔</w:t>
      </w:r>
      <w:r>
        <w:rPr>
          <w:rFonts w:ascii="宋体" w:hAnsi="宋体" w:eastAsia="宋体" w:hint="eastAsia"/>
          <w:spacing w:val="-4"/>
        </w:rPr>
        <w:t>××××</w:t>
      </w:r>
      <w:r>
        <w:rPr>
          <w:spacing w:val="-8"/>
        </w:rPr>
        <w:t>〕</w:t>
      </w:r>
      <w:r>
        <w:rPr>
          <w:rFonts w:ascii="宋体" w:hAnsi="宋体" w:eastAsia="宋体" w:hint="eastAsia"/>
          <w:spacing w:val="-5"/>
        </w:rPr>
        <w:t>××</w:t>
      </w:r>
      <w:r>
        <w:rPr>
          <w:spacing w:val="40"/>
        </w:rPr>
        <w:t>号</w:t>
      </w:r>
      <w:r>
        <w:rPr/>
        <w:t>）</w:t>
      </w:r>
      <w:r>
        <w:rPr>
          <w:spacing w:val="28"/>
        </w:rPr>
        <w:t> 的有关情</w:t>
      </w:r>
      <w:r>
        <w:rPr>
          <w:spacing w:val="2"/>
        </w:rPr>
        <w:t>况说明如下：</w:t>
      </w:r>
    </w:p>
    <w:p>
      <w:pPr>
        <w:pStyle w:val="BodyText"/>
        <w:spacing w:before="2"/>
        <w:ind w:left="742"/>
        <w:rPr>
          <w:rFonts w:ascii="文星黑体" w:eastAsia="文星黑体" w:hint="eastAsia"/>
        </w:rPr>
      </w:pPr>
      <w:r>
        <w:rPr>
          <w:rFonts w:ascii="文星黑体" w:eastAsia="文星黑体" w:hint="eastAsia"/>
          <w:spacing w:val="-5"/>
        </w:rPr>
        <w:t>一、制定文件的必要性</w:t>
      </w:r>
    </w:p>
    <w:p>
      <w:pPr>
        <w:pStyle w:val="BodyText"/>
        <w:spacing w:line="307" w:lineRule="auto" w:before="123"/>
        <w:ind w:left="106" w:right="385" w:firstLine="636"/>
      </w:pPr>
      <w:r>
        <w:rPr>
          <w:spacing w:val="10"/>
        </w:rPr>
        <w:t>包括该文件制定的背景、法律法规以及上级政策文件的要</w:t>
      </w:r>
      <w:r>
        <w:rPr>
          <w:spacing w:val="-5"/>
        </w:rPr>
        <w:t>求、拟解决的主要问题等。</w:t>
      </w:r>
    </w:p>
    <w:p>
      <w:pPr>
        <w:pStyle w:val="BodyText"/>
        <w:spacing w:before="1"/>
        <w:ind w:left="742"/>
        <w:rPr>
          <w:rFonts w:ascii="文星黑体" w:eastAsia="文星黑体" w:hint="eastAsia"/>
        </w:rPr>
      </w:pPr>
      <w:r>
        <w:rPr>
          <w:rFonts w:ascii="文星黑体" w:eastAsia="文星黑体" w:hint="eastAsia"/>
        </w:rPr>
        <w:t>二、起草依据</w:t>
      </w:r>
    </w:p>
    <w:p>
      <w:pPr>
        <w:pStyle w:val="BodyText"/>
        <w:spacing w:line="307" w:lineRule="auto" w:before="121"/>
        <w:ind w:left="106" w:right="388" w:firstLine="636"/>
        <w:jc w:val="both"/>
      </w:pPr>
      <w:r>
        <w:rPr>
          <w:spacing w:val="-5"/>
        </w:rPr>
        <w:t>该文件依据《</w:t>
      </w:r>
      <w:r>
        <w:rPr>
          <w:rFonts w:ascii="宋体" w:hAnsi="宋体" w:eastAsia="宋体" w:hint="eastAsia"/>
          <w:spacing w:val="-3"/>
        </w:rPr>
        <w:t>×××××</w:t>
      </w:r>
      <w:r>
        <w:rPr>
          <w:spacing w:val="-85"/>
        </w:rPr>
        <w:t>》《</w:t>
      </w:r>
      <w:r>
        <w:rPr>
          <w:rFonts w:ascii="宋体" w:hAnsi="宋体" w:eastAsia="宋体" w:hint="eastAsia"/>
          <w:spacing w:val="-3"/>
        </w:rPr>
        <w:t>×××××</w:t>
      </w:r>
      <w:r>
        <w:rPr>
          <w:spacing w:val="20"/>
        </w:rPr>
        <w:t>》等制定。其中涉</w:t>
      </w:r>
      <w:r>
        <w:rPr>
          <w:spacing w:val="-7"/>
        </w:rPr>
        <w:t>及到行政许可、行政处罚、行政强制和行政收费等依据作出专门</w:t>
      </w:r>
      <w:r>
        <w:rPr>
          <w:spacing w:val="-2"/>
        </w:rPr>
        <w:t>说明。</w:t>
      </w:r>
    </w:p>
    <w:p>
      <w:pPr>
        <w:pStyle w:val="BodyText"/>
        <w:spacing w:before="4"/>
        <w:ind w:left="742"/>
        <w:rPr>
          <w:rFonts w:ascii="文星黑体" w:eastAsia="文星黑体" w:hint="eastAsia"/>
        </w:rPr>
      </w:pPr>
      <w:r>
        <w:rPr>
          <w:rFonts w:ascii="文星黑体" w:eastAsia="文星黑体" w:hint="eastAsia"/>
        </w:rPr>
        <w:t>三、起草过程</w:t>
      </w:r>
    </w:p>
    <w:p>
      <w:pPr>
        <w:pStyle w:val="BodyText"/>
        <w:spacing w:line="307" w:lineRule="auto" w:before="120"/>
        <w:ind w:left="106" w:right="385" w:firstLine="636"/>
      </w:pPr>
      <w:r>
        <w:rPr>
          <w:spacing w:val="-6"/>
        </w:rPr>
        <w:t>包括调查研究、评估论证、征求意见、听证、合法性审核、</w:t>
      </w:r>
      <w:r>
        <w:rPr>
          <w:spacing w:val="-5"/>
        </w:rPr>
        <w:t>集体审议决定等过程说明。</w:t>
      </w:r>
    </w:p>
    <w:p>
      <w:pPr>
        <w:pStyle w:val="BodyText"/>
        <w:spacing w:before="2"/>
        <w:ind w:left="742"/>
        <w:rPr>
          <w:rFonts w:ascii="文星黑体" w:eastAsia="文星黑体" w:hint="eastAsia"/>
        </w:rPr>
      </w:pPr>
      <w:r>
        <w:rPr>
          <w:rFonts w:ascii="文星黑体" w:eastAsia="文星黑体" w:hint="eastAsia"/>
        </w:rPr>
        <w:t>四、主要内容</w:t>
      </w:r>
    </w:p>
    <w:p>
      <w:pPr>
        <w:pStyle w:val="BodyText"/>
        <w:spacing w:before="123"/>
        <w:ind w:left="742"/>
        <w:rPr>
          <w:rFonts w:ascii="文星黑体" w:eastAsia="文星黑体" w:hint="eastAsia"/>
        </w:rPr>
      </w:pPr>
      <w:r>
        <w:rPr>
          <w:rFonts w:ascii="文星黑体" w:eastAsia="文星黑体" w:hint="eastAsia"/>
        </w:rPr>
        <w:t>五、关于施行日期的说明</w:t>
      </w:r>
    </w:p>
    <w:p>
      <w:pPr>
        <w:pStyle w:val="BodyText"/>
        <w:spacing w:line="307" w:lineRule="auto" w:before="121"/>
        <w:ind w:left="106" w:right="385" w:firstLine="636"/>
        <w:jc w:val="both"/>
      </w:pPr>
      <w:r>
        <w:rPr>
          <w:spacing w:val="-3"/>
        </w:rPr>
        <w:t>该文件的公布日期是</w:t>
      </w:r>
      <w:r>
        <w:rPr>
          <w:rFonts w:ascii="宋体" w:hAnsi="宋体" w:eastAsia="宋体" w:hint="eastAsia"/>
        </w:rPr>
        <w:t>××</w:t>
      </w:r>
      <w:r>
        <w:rPr>
          <w:spacing w:val="-5"/>
        </w:rPr>
        <w:t>年</w:t>
      </w:r>
      <w:r>
        <w:rPr>
          <w:rFonts w:ascii="宋体" w:hAnsi="宋体" w:eastAsia="宋体" w:hint="eastAsia"/>
          <w:spacing w:val="-3"/>
        </w:rPr>
        <w:t>××</w:t>
      </w:r>
      <w:r>
        <w:rPr>
          <w:spacing w:val="-5"/>
        </w:rPr>
        <w:t>月</w:t>
      </w:r>
      <w:r>
        <w:rPr>
          <w:rFonts w:ascii="宋体" w:hAnsi="宋体" w:eastAsia="宋体" w:hint="eastAsia"/>
          <w:spacing w:val="-3"/>
        </w:rPr>
        <w:t>××</w:t>
      </w:r>
      <w:r>
        <w:rPr>
          <w:spacing w:val="-1"/>
        </w:rPr>
        <w:t>日，施行日期是</w:t>
      </w:r>
      <w:r>
        <w:rPr>
          <w:rFonts w:ascii="宋体" w:hAnsi="宋体" w:eastAsia="宋体" w:hint="eastAsia"/>
          <w:spacing w:val="-3"/>
        </w:rPr>
        <w:t>×× </w:t>
      </w:r>
      <w:r>
        <w:rPr>
          <w:spacing w:val="-5"/>
        </w:rPr>
        <w:t>年</w:t>
      </w:r>
      <w:r>
        <w:rPr>
          <w:rFonts w:ascii="宋体" w:hAnsi="宋体" w:eastAsia="宋体" w:hint="eastAsia"/>
          <w:spacing w:val="-5"/>
        </w:rPr>
        <w:t>××</w:t>
      </w:r>
      <w:r>
        <w:rPr>
          <w:spacing w:val="-5"/>
        </w:rPr>
        <w:t>月</w:t>
      </w:r>
      <w:r>
        <w:rPr>
          <w:rFonts w:ascii="宋体" w:hAnsi="宋体" w:eastAsia="宋体" w:hint="eastAsia"/>
          <w:spacing w:val="-5"/>
        </w:rPr>
        <w:t>××</w:t>
      </w:r>
      <w:r>
        <w:rPr>
          <w:spacing w:val="-77"/>
        </w:rPr>
        <w:t>日。</w:t>
      </w:r>
      <w:r>
        <w:rPr>
          <w:spacing w:val="4"/>
        </w:rPr>
        <w:t>（</w:t>
      </w:r>
      <w:r>
        <w:rPr/>
        <w:t>如果该文件公布未满</w:t>
      </w:r>
      <w:r>
        <w:rPr>
          <w:rFonts w:ascii="Times New Roman" w:hAnsi="Times New Roman" w:eastAsia="Times New Roman"/>
        </w:rPr>
        <w:t>30 </w:t>
      </w:r>
      <w:r>
        <w:rPr>
          <w:spacing w:val="2"/>
        </w:rPr>
        <w:t>日即施行应当说明理</w:t>
      </w:r>
    </w:p>
    <w:p>
      <w:pPr>
        <w:spacing w:after="0" w:line="307" w:lineRule="auto"/>
        <w:jc w:val="both"/>
        <w:sectPr>
          <w:pgSz w:w="11910" w:h="16840"/>
          <w:pgMar w:top="1580" w:bottom="280" w:left="1480" w:right="1080"/>
        </w:sectPr>
      </w:pPr>
    </w:p>
    <w:p>
      <w:pPr>
        <w:pStyle w:val="BodyText"/>
        <w:spacing w:line="307" w:lineRule="auto" w:before="1"/>
        <w:ind w:left="106"/>
      </w:pPr>
      <w:r>
        <w:rPr/>
        <w:t>由：该文件因</w:t>
      </w:r>
      <w:r>
        <w:rPr>
          <w:rFonts w:ascii="宋体" w:hAnsi="宋体" w:eastAsia="宋体" w:hint="eastAsia"/>
        </w:rPr>
        <w:t>××××××××</w:t>
      </w:r>
      <w:r>
        <w:rPr/>
        <w:t>，自公布之日起未满</w:t>
      </w:r>
      <w:r>
        <w:rPr>
          <w:rFonts w:ascii="Times New Roman" w:hAnsi="Times New Roman" w:eastAsia="Times New Roman"/>
        </w:rPr>
        <w:t>30 </w:t>
      </w:r>
      <w:r>
        <w:rPr/>
        <w:t>行）</w:t>
      </w:r>
    </w:p>
    <w:p>
      <w:pPr>
        <w:spacing w:before="1"/>
        <w:ind w:left="63" w:right="0" w:firstLine="0"/>
        <w:jc w:val="left"/>
        <w:rPr>
          <w:sz w:val="31"/>
        </w:rPr>
      </w:pPr>
      <w:r>
        <w:rPr/>
        <w:br w:type="column"/>
      </w:r>
      <w:r>
        <w:rPr>
          <w:sz w:val="31"/>
        </w:rPr>
        <w:t>日即施</w:t>
      </w:r>
    </w:p>
    <w:p>
      <w:pPr>
        <w:spacing w:after="0"/>
        <w:jc w:val="left"/>
        <w:rPr>
          <w:sz w:val="31"/>
        </w:rPr>
        <w:sectPr>
          <w:type w:val="continuous"/>
          <w:pgSz w:w="11910" w:h="16840"/>
          <w:pgMar w:top="1580" w:bottom="280" w:left="1480" w:right="1080"/>
          <w:cols w:num="2" w:equalWidth="0">
            <w:col w:w="7857" w:space="40"/>
            <w:col w:w="1453"/>
          </w:cols>
        </w:sectPr>
      </w:pPr>
    </w:p>
    <w:p>
      <w:pPr>
        <w:pStyle w:val="BodyText"/>
        <w:spacing w:before="6"/>
        <w:rPr>
          <w:sz w:val="29"/>
        </w:rPr>
      </w:pPr>
    </w:p>
    <w:p>
      <w:pPr>
        <w:spacing w:before="60"/>
        <w:ind w:left="0" w:right="114" w:firstLine="0"/>
        <w:jc w:val="right"/>
        <w:rPr>
          <w:rFonts w:ascii="新宋体" w:eastAsia="新宋体" w:hint="eastAsia"/>
          <w:sz w:val="28"/>
        </w:rPr>
      </w:pPr>
      <w:r>
        <w:rPr>
          <w:rFonts w:ascii="新宋体" w:eastAsia="新宋体" w:hint="eastAsia"/>
          <w:sz w:val="28"/>
        </w:rPr>
        <w:t>－</w:t>
      </w:r>
      <w:r>
        <w:rPr>
          <w:rFonts w:ascii="新宋体" w:eastAsia="新宋体" w:hint="eastAsia"/>
          <w:spacing w:val="-72"/>
          <w:sz w:val="28"/>
        </w:rPr>
        <w:t> </w:t>
      </w:r>
      <w:r>
        <w:rPr>
          <w:rFonts w:ascii="新宋体" w:eastAsia="新宋体" w:hint="eastAsia"/>
          <w:sz w:val="28"/>
        </w:rPr>
        <w:t>１３</w:t>
      </w:r>
      <w:r>
        <w:rPr>
          <w:rFonts w:ascii="新宋体" w:eastAsia="新宋体" w:hint="eastAsia"/>
          <w:spacing w:val="-69"/>
          <w:sz w:val="28"/>
        </w:rPr>
        <w:t> </w:t>
      </w:r>
      <w:r>
        <w:rPr>
          <w:rFonts w:ascii="新宋体" w:eastAsia="新宋体" w:hint="eastAsia"/>
          <w:sz w:val="28"/>
        </w:rPr>
        <w:t>－</w:t>
      </w:r>
    </w:p>
    <w:p>
      <w:pPr>
        <w:spacing w:after="0"/>
        <w:jc w:val="right"/>
        <w:rPr>
          <w:rFonts w:ascii="新宋体" w:eastAsia="新宋体" w:hint="eastAsia"/>
          <w:sz w:val="28"/>
        </w:rPr>
        <w:sectPr>
          <w:type w:val="continuous"/>
          <w:pgSz w:w="11910" w:h="16840"/>
          <w:pgMar w:top="1580" w:bottom="280" w:left="1480" w:right="1080"/>
        </w:sectPr>
      </w:pPr>
    </w:p>
    <w:p>
      <w:pPr>
        <w:pStyle w:val="BodyText"/>
        <w:rPr>
          <w:rFonts w:ascii="新宋体"/>
          <w:sz w:val="20"/>
        </w:rPr>
      </w:pPr>
    </w:p>
    <w:p>
      <w:pPr>
        <w:pStyle w:val="BodyText"/>
        <w:spacing w:before="5"/>
        <w:rPr>
          <w:rFonts w:ascii="新宋体"/>
          <w:sz w:val="15"/>
        </w:rPr>
      </w:pPr>
    </w:p>
    <w:p>
      <w:pPr>
        <w:pStyle w:val="BodyText"/>
        <w:spacing w:before="77"/>
        <w:ind w:left="106"/>
        <w:rPr>
          <w:rFonts w:ascii="Times New Roman" w:eastAsia="Times New Roman"/>
        </w:rPr>
      </w:pPr>
      <w:r>
        <w:rPr>
          <w:rFonts w:ascii="文星黑体" w:eastAsia="文星黑体" w:hint="eastAsia"/>
        </w:rPr>
        <w:t>附件</w:t>
      </w:r>
      <w:r>
        <w:rPr>
          <w:rFonts w:ascii="Times New Roman" w:eastAsia="Times New Roman"/>
        </w:rPr>
        <w:t>3</w:t>
      </w:r>
    </w:p>
    <w:p>
      <w:pPr>
        <w:pStyle w:val="BodyText"/>
        <w:rPr>
          <w:rFonts w:ascii="Times New Roman"/>
          <w:sz w:val="20"/>
        </w:rPr>
      </w:pPr>
    </w:p>
    <w:p>
      <w:pPr>
        <w:pStyle w:val="BodyText"/>
        <w:rPr>
          <w:rFonts w:ascii="Times New Roman"/>
          <w:sz w:val="20"/>
        </w:rPr>
      </w:pPr>
    </w:p>
    <w:p>
      <w:pPr>
        <w:pStyle w:val="Heading1"/>
        <w:spacing w:before="114"/>
        <w:ind w:left="963" w:right="0"/>
        <w:jc w:val="left"/>
      </w:pPr>
      <w:r>
        <w:rPr/>
        <w:t>关于《×××××》的合法性审核意见</w:t>
      </w:r>
    </w:p>
    <w:p>
      <w:pPr>
        <w:pStyle w:val="BodyText"/>
        <w:spacing w:before="17"/>
        <w:rPr>
          <w:rFonts w:ascii="方正小标宋简体"/>
          <w:sz w:val="33"/>
        </w:rPr>
      </w:pPr>
    </w:p>
    <w:p>
      <w:pPr>
        <w:pStyle w:val="BodyText"/>
        <w:ind w:left="106"/>
      </w:pPr>
      <w:r>
        <w:rPr>
          <w:rFonts w:ascii="宋体" w:hAnsi="宋体" w:eastAsia="宋体" w:hint="eastAsia"/>
          <w:spacing w:val="-4"/>
          <w:w w:val="102"/>
        </w:rPr>
        <w:t>×××</w:t>
      </w:r>
      <w:r>
        <w:rPr>
          <w:w w:val="102"/>
        </w:rPr>
        <w:t>（</w:t>
      </w:r>
      <w:r>
        <w:rPr>
          <w:spacing w:val="-4"/>
          <w:w w:val="102"/>
        </w:rPr>
        <w:t>起草单位名称</w:t>
      </w:r>
      <w:r>
        <w:rPr>
          <w:spacing w:val="-164"/>
          <w:w w:val="102"/>
        </w:rPr>
        <w:t>）</w:t>
      </w:r>
      <w:r>
        <w:rPr>
          <w:w w:val="102"/>
        </w:rPr>
        <w:t>：</w:t>
      </w:r>
    </w:p>
    <w:p>
      <w:pPr>
        <w:pStyle w:val="BodyText"/>
        <w:spacing w:line="304" w:lineRule="auto" w:before="116"/>
        <w:ind w:left="106" w:right="388" w:firstLine="636"/>
      </w:pPr>
      <w:r>
        <w:rPr/>
        <w:t>你单位起草的《</w:t>
      </w:r>
      <w:r>
        <w:rPr>
          <w:rFonts w:ascii="宋体" w:hAnsi="宋体" w:eastAsia="宋体" w:hint="eastAsia"/>
        </w:rPr>
        <w:t>×××××</w:t>
      </w:r>
      <w:r>
        <w:rPr/>
        <w:t>》，已经我单位合法性审核，现提出如下审核意见：</w:t>
      </w:r>
    </w:p>
    <w:p>
      <w:pPr>
        <w:pStyle w:val="BodyText"/>
        <w:spacing w:before="1"/>
        <w:ind w:left="742"/>
        <w:rPr>
          <w:rFonts w:ascii="文星黑体" w:eastAsia="文星黑体" w:hint="eastAsia"/>
        </w:rPr>
      </w:pPr>
      <w:r>
        <w:rPr>
          <w:rFonts w:ascii="文星黑体" w:eastAsia="文星黑体" w:hint="eastAsia"/>
        </w:rPr>
        <w:t>一、审核过程</w:t>
      </w:r>
    </w:p>
    <w:p>
      <w:pPr>
        <w:pStyle w:val="BodyText"/>
        <w:spacing w:before="116"/>
        <w:ind w:left="742"/>
      </w:pPr>
      <w:r>
        <w:rPr/>
        <w:t>对审核过程和所做的工作进行描述。</w:t>
      </w:r>
    </w:p>
    <w:p>
      <w:pPr>
        <w:pStyle w:val="BodyText"/>
        <w:spacing w:before="116"/>
        <w:ind w:left="742"/>
        <w:rPr>
          <w:rFonts w:ascii="文星黑体" w:eastAsia="文星黑体" w:hint="eastAsia"/>
        </w:rPr>
      </w:pPr>
      <w:r>
        <w:rPr>
          <w:rFonts w:ascii="文星黑体" w:eastAsia="文星黑体" w:hint="eastAsia"/>
        </w:rPr>
        <w:t>二、合法性审核情况</w:t>
      </w:r>
    </w:p>
    <w:p>
      <w:pPr>
        <w:pStyle w:val="BodyText"/>
        <w:spacing w:line="304" w:lineRule="auto" w:before="116"/>
        <w:ind w:left="106" w:right="385" w:firstLine="636"/>
      </w:pPr>
      <w:r>
        <w:rPr/>
        <w:t>（</w:t>
      </w:r>
      <w:r>
        <w:rPr>
          <w:spacing w:val="-5"/>
        </w:rPr>
        <w:t>一</w:t>
      </w:r>
      <w:r>
        <w:rPr/>
        <w:t>）</w:t>
      </w:r>
      <w:r>
        <w:rPr>
          <w:spacing w:val="-6"/>
        </w:rPr>
        <w:t>需对制定主体、权限、程序、内容、形式等是否合法</w:t>
      </w:r>
      <w:r>
        <w:rPr>
          <w:spacing w:val="-5"/>
        </w:rPr>
        <w:t>逐一进行审查确认：</w:t>
      </w:r>
    </w:p>
    <w:p>
      <w:pPr>
        <w:pStyle w:val="ListParagraph"/>
        <w:numPr>
          <w:ilvl w:val="0"/>
          <w:numId w:val="2"/>
        </w:numPr>
        <w:tabs>
          <w:tab w:pos="1219" w:val="left" w:leader="none"/>
        </w:tabs>
        <w:spacing w:line="432" w:lineRule="exact" w:before="0" w:after="0"/>
        <w:ind w:left="1218" w:right="0" w:hanging="477"/>
        <w:jc w:val="left"/>
        <w:rPr>
          <w:sz w:val="31"/>
        </w:rPr>
      </w:pPr>
      <w:r>
        <w:rPr>
          <w:spacing w:val="-6"/>
          <w:sz w:val="31"/>
        </w:rPr>
        <w:t>是否存在超越制定机关法定职权的情形；</w:t>
      </w:r>
    </w:p>
    <w:p>
      <w:pPr>
        <w:pStyle w:val="ListParagraph"/>
        <w:numPr>
          <w:ilvl w:val="0"/>
          <w:numId w:val="2"/>
        </w:numPr>
        <w:tabs>
          <w:tab w:pos="1230" w:val="left" w:leader="none"/>
        </w:tabs>
        <w:spacing w:line="304" w:lineRule="auto" w:before="119" w:after="0"/>
        <w:ind w:left="106" w:right="393" w:firstLine="636"/>
        <w:jc w:val="left"/>
        <w:rPr>
          <w:sz w:val="31"/>
        </w:rPr>
      </w:pPr>
      <w:r>
        <w:rPr>
          <w:sz w:val="31"/>
        </w:rPr>
        <w:t>是否存在违反宪法、法律、法规、规章和国家、省、市</w:t>
      </w:r>
      <w:r>
        <w:rPr>
          <w:spacing w:val="-4"/>
          <w:sz w:val="31"/>
        </w:rPr>
        <w:t>政策规定的情形；</w:t>
      </w:r>
    </w:p>
    <w:p>
      <w:pPr>
        <w:pStyle w:val="ListParagraph"/>
        <w:numPr>
          <w:ilvl w:val="0"/>
          <w:numId w:val="2"/>
        </w:numPr>
        <w:tabs>
          <w:tab w:pos="1230" w:val="left" w:leader="none"/>
        </w:tabs>
        <w:spacing w:line="304" w:lineRule="auto" w:before="0" w:after="0"/>
        <w:ind w:left="106" w:right="393" w:firstLine="636"/>
        <w:jc w:val="left"/>
        <w:rPr>
          <w:sz w:val="31"/>
        </w:rPr>
      </w:pPr>
      <w:r>
        <w:rPr>
          <w:sz w:val="31"/>
        </w:rPr>
        <w:t>是否存在违法设立行政许可、行政处罚、行政强制、行</w:t>
      </w:r>
      <w:r>
        <w:rPr>
          <w:spacing w:val="-6"/>
          <w:sz w:val="31"/>
        </w:rPr>
        <w:t>政征收、行政收费等事项的情形；</w:t>
      </w:r>
    </w:p>
    <w:p>
      <w:pPr>
        <w:pStyle w:val="ListParagraph"/>
        <w:numPr>
          <w:ilvl w:val="0"/>
          <w:numId w:val="2"/>
        </w:numPr>
        <w:tabs>
          <w:tab w:pos="1219" w:val="left" w:leader="none"/>
        </w:tabs>
        <w:spacing w:line="432" w:lineRule="exact" w:before="0" w:after="0"/>
        <w:ind w:left="1218" w:right="0" w:hanging="477"/>
        <w:jc w:val="left"/>
        <w:rPr>
          <w:sz w:val="31"/>
        </w:rPr>
      </w:pPr>
      <w:r>
        <w:rPr>
          <w:spacing w:val="-6"/>
          <w:sz w:val="31"/>
        </w:rPr>
        <w:t>是否存在违反规范性文件制定程序的情形；</w:t>
      </w:r>
    </w:p>
    <w:p>
      <w:pPr>
        <w:pStyle w:val="ListParagraph"/>
        <w:numPr>
          <w:ilvl w:val="0"/>
          <w:numId w:val="2"/>
        </w:numPr>
        <w:tabs>
          <w:tab w:pos="1230" w:val="left" w:leader="none"/>
        </w:tabs>
        <w:spacing w:line="304" w:lineRule="auto" w:before="114" w:after="0"/>
        <w:ind w:left="106" w:right="393" w:firstLine="636"/>
        <w:jc w:val="left"/>
        <w:rPr>
          <w:sz w:val="31"/>
        </w:rPr>
      </w:pPr>
      <w:r>
        <w:rPr>
          <w:sz w:val="31"/>
        </w:rPr>
        <w:t>没有法律、法规依据的情况下，是否存在减损公民、法</w:t>
      </w:r>
      <w:r>
        <w:rPr>
          <w:spacing w:val="-6"/>
          <w:sz w:val="31"/>
        </w:rPr>
        <w:t>人和其他组织合法权益或者增加其义务的情形；</w:t>
      </w:r>
    </w:p>
    <w:p>
      <w:pPr>
        <w:pStyle w:val="ListParagraph"/>
        <w:numPr>
          <w:ilvl w:val="0"/>
          <w:numId w:val="2"/>
        </w:numPr>
        <w:tabs>
          <w:tab w:pos="1230" w:val="left" w:leader="none"/>
        </w:tabs>
        <w:spacing w:line="304" w:lineRule="auto" w:before="0" w:after="0"/>
        <w:ind w:left="106" w:right="393" w:firstLine="636"/>
        <w:jc w:val="left"/>
        <w:rPr>
          <w:sz w:val="31"/>
        </w:rPr>
      </w:pPr>
      <w:r>
        <w:rPr>
          <w:sz w:val="31"/>
        </w:rPr>
        <w:t>没有法律、法规依据的情况下，是否存在增加本单位权</w:t>
      </w:r>
      <w:r>
        <w:rPr>
          <w:spacing w:val="-6"/>
          <w:sz w:val="31"/>
        </w:rPr>
        <w:t>力或者减少本单位法定职责的情形；</w:t>
      </w:r>
    </w:p>
    <w:p>
      <w:pPr>
        <w:pStyle w:val="ListParagraph"/>
        <w:numPr>
          <w:ilvl w:val="0"/>
          <w:numId w:val="2"/>
        </w:numPr>
        <w:tabs>
          <w:tab w:pos="1230" w:val="left" w:leader="none"/>
        </w:tabs>
        <w:spacing w:line="240" w:lineRule="auto" w:before="15" w:after="0"/>
        <w:ind w:left="1229" w:right="0" w:hanging="488"/>
        <w:jc w:val="left"/>
        <w:rPr>
          <w:sz w:val="31"/>
        </w:rPr>
      </w:pPr>
      <w:r>
        <w:rPr>
          <w:sz w:val="31"/>
        </w:rPr>
        <w:t>制定涉及市场主体经济活动的规范性文件，是否存在设</w:t>
      </w:r>
    </w:p>
    <w:p>
      <w:pPr>
        <w:spacing w:before="137"/>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１４</w:t>
      </w:r>
      <w:r>
        <w:rPr>
          <w:rFonts w:ascii="新宋体" w:eastAsia="新宋体" w:hint="eastAsia"/>
          <w:spacing w:val="-66"/>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spacing w:before="7"/>
        <w:rPr>
          <w:rFonts w:ascii="新宋体"/>
          <w:sz w:val="17"/>
        </w:rPr>
      </w:pPr>
    </w:p>
    <w:p>
      <w:pPr>
        <w:pStyle w:val="BodyText"/>
        <w:spacing w:line="314" w:lineRule="auto" w:before="49"/>
        <w:ind w:left="106" w:right="388"/>
        <w:jc w:val="both"/>
      </w:pPr>
      <w:r>
        <w:rPr>
          <w:spacing w:val="-7"/>
        </w:rPr>
        <w:t>置不合理或者歧视性的准入和退出条件、影响商品和要素自由流动以及滥用行政权力排除、限制市场竞争行为等妨碍全国统一市</w:t>
      </w:r>
      <w:r>
        <w:rPr>
          <w:spacing w:val="-5"/>
        </w:rPr>
        <w:t>场和公平竞争的规定的情形；</w:t>
      </w:r>
    </w:p>
    <w:p>
      <w:pPr>
        <w:pStyle w:val="ListParagraph"/>
        <w:numPr>
          <w:ilvl w:val="0"/>
          <w:numId w:val="2"/>
        </w:numPr>
        <w:tabs>
          <w:tab w:pos="1230" w:val="left" w:leader="none"/>
        </w:tabs>
        <w:spacing w:line="314" w:lineRule="auto" w:before="0" w:after="0"/>
        <w:ind w:left="106" w:right="393" w:firstLine="636"/>
        <w:jc w:val="left"/>
        <w:rPr>
          <w:sz w:val="31"/>
        </w:rPr>
      </w:pPr>
      <w:r>
        <w:rPr>
          <w:sz w:val="31"/>
        </w:rPr>
        <w:t>制定有关或者影响货物贸易、服务贸易以及涉及贸易等</w:t>
      </w:r>
      <w:r>
        <w:rPr>
          <w:spacing w:val="-6"/>
          <w:sz w:val="31"/>
        </w:rPr>
        <w:t>知识产权的规范性文件，是否合规。</w:t>
      </w:r>
    </w:p>
    <w:p>
      <w:pPr>
        <w:pStyle w:val="BodyText"/>
        <w:spacing w:line="314" w:lineRule="auto"/>
        <w:ind w:left="106" w:right="385" w:firstLine="636"/>
      </w:pPr>
      <w:r>
        <w:rPr/>
        <w:t>（二）具体规定不合法的，提出明确意见，同时说明依据和理由。</w:t>
      </w:r>
    </w:p>
    <w:p>
      <w:pPr>
        <w:pStyle w:val="BodyText"/>
        <w:rPr>
          <w:sz w:val="36"/>
        </w:rPr>
      </w:pPr>
    </w:p>
    <w:p>
      <w:pPr>
        <w:pStyle w:val="BodyText"/>
        <w:spacing w:before="8"/>
        <w:rPr>
          <w:sz w:val="44"/>
        </w:rPr>
      </w:pPr>
    </w:p>
    <w:p>
      <w:pPr>
        <w:pStyle w:val="BodyText"/>
        <w:spacing w:before="1"/>
        <w:ind w:left="3264"/>
      </w:pPr>
      <w:r>
        <w:rPr/>
        <w:t>报备机关合法性审核机构（印章）</w:t>
      </w:r>
    </w:p>
    <w:p>
      <w:pPr>
        <w:pStyle w:val="BodyText"/>
        <w:spacing w:before="132"/>
        <w:ind w:left="4131"/>
      </w:pPr>
      <w:r>
        <w:rPr>
          <w:rFonts w:ascii="宋体" w:hAnsi="宋体" w:eastAsia="宋体" w:hint="eastAsia"/>
        </w:rPr>
        <w:t>××</w:t>
      </w:r>
      <w:r>
        <w:rPr/>
        <w:t>年</w:t>
      </w:r>
      <w:r>
        <w:rPr>
          <w:rFonts w:ascii="宋体" w:hAnsi="宋体" w:eastAsia="宋体" w:hint="eastAsia"/>
        </w:rPr>
        <w:t>××</w:t>
      </w:r>
      <w:r>
        <w:rPr/>
        <w:t>月</w:t>
      </w:r>
      <w:r>
        <w:rPr>
          <w:rFonts w:ascii="宋体" w:hAnsi="宋体" w:eastAsia="宋体" w:hint="eastAsia"/>
        </w:rPr>
        <w:t>××</w:t>
      </w:r>
      <w:r>
        <w:rPr/>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spacing w:before="59"/>
        <w:ind w:left="0" w:right="114" w:firstLine="0"/>
        <w:jc w:val="right"/>
        <w:rPr>
          <w:rFonts w:ascii="新宋体" w:eastAsia="新宋体" w:hint="eastAsia"/>
          <w:sz w:val="28"/>
        </w:rPr>
      </w:pPr>
      <w:r>
        <w:rPr>
          <w:rFonts w:ascii="新宋体" w:eastAsia="新宋体" w:hint="eastAsia"/>
          <w:sz w:val="28"/>
        </w:rPr>
        <w:t>－</w:t>
      </w:r>
      <w:r>
        <w:rPr>
          <w:rFonts w:ascii="新宋体" w:eastAsia="新宋体" w:hint="eastAsia"/>
          <w:spacing w:val="-72"/>
          <w:sz w:val="28"/>
        </w:rPr>
        <w:t> </w:t>
      </w:r>
      <w:r>
        <w:rPr>
          <w:rFonts w:ascii="新宋体" w:eastAsia="新宋体" w:hint="eastAsia"/>
          <w:sz w:val="28"/>
        </w:rPr>
        <w:t>１５</w:t>
      </w:r>
      <w:r>
        <w:rPr>
          <w:rFonts w:ascii="新宋体" w:eastAsia="新宋体" w:hint="eastAsia"/>
          <w:spacing w:val="-69"/>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80" w:right="1080"/>
        </w:sect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rPr>
          <w:rFonts w:ascii="新宋体"/>
          <w:sz w:val="20"/>
        </w:rPr>
      </w:pPr>
    </w:p>
    <w:p>
      <w:pPr>
        <w:pStyle w:val="BodyText"/>
        <w:spacing w:before="3" w:after="1"/>
        <w:rPr>
          <w:rFonts w:ascii="新宋体"/>
          <w:sz w:val="13"/>
        </w:rPr>
      </w:pPr>
    </w:p>
    <w:p>
      <w:pPr>
        <w:pStyle w:val="BodyText"/>
        <w:spacing w:line="20" w:lineRule="exact"/>
        <w:ind w:left="100"/>
        <w:rPr>
          <w:rFonts w:ascii="新宋体"/>
          <w:sz w:val="2"/>
        </w:rPr>
      </w:pPr>
      <w:r>
        <w:rPr>
          <w:rFonts w:ascii="新宋体"/>
          <w:sz w:val="2"/>
        </w:rPr>
        <w:pict>
          <v:group style="width:442.8pt;height:.6pt;mso-position-horizontal-relative:char;mso-position-vertical-relative:line" coordorigin="0,0" coordsize="8856,12">
            <v:line style="position:absolute" from="0,6" to="8856,6" stroked="true" strokeweight=".6pt" strokecolor="#000000">
              <v:stroke dashstyle="solid"/>
            </v:line>
          </v:group>
        </w:pict>
      </w:r>
      <w:r>
        <w:rPr>
          <w:rFonts w:ascii="新宋体"/>
          <w:sz w:val="2"/>
        </w:rPr>
      </w:r>
    </w:p>
    <w:p>
      <w:pPr>
        <w:spacing w:line="278" w:lineRule="auto" w:before="61"/>
        <w:ind w:left="1222" w:right="573" w:hanging="838"/>
        <w:jc w:val="left"/>
        <w:rPr>
          <w:sz w:val="28"/>
        </w:rPr>
      </w:pPr>
      <w:r>
        <w:rPr>
          <w:w w:val="95"/>
          <w:sz w:val="28"/>
        </w:rPr>
        <w:t>抄送：县委各部门，县人大常委会办公室，县政协办公室，县法院， </w:t>
      </w:r>
      <w:r>
        <w:rPr>
          <w:sz w:val="28"/>
        </w:rPr>
        <w:t>县检察院，县人武部。</w:t>
      </w:r>
    </w:p>
    <w:p>
      <w:pPr>
        <w:pStyle w:val="BodyText"/>
        <w:spacing w:line="20" w:lineRule="exact"/>
        <w:ind w:left="100"/>
        <w:rPr>
          <w:sz w:val="2"/>
        </w:rPr>
      </w:pPr>
      <w:r>
        <w:rPr>
          <w:sz w:val="2"/>
        </w:rPr>
        <w:pict>
          <v:group style="width:442pt;height:.6pt;mso-position-horizontal-relative:char;mso-position-vertical-relative:line" coordorigin="0,0" coordsize="8840,12">
            <v:line style="position:absolute" from="0,6" to="8839,6" stroked="true" strokeweight=".6pt" strokecolor="#000000">
              <v:stroke dashstyle="solid"/>
            </v:line>
          </v:group>
        </w:pict>
      </w:r>
      <w:r>
        <w:rPr>
          <w:sz w:val="2"/>
        </w:rPr>
      </w:r>
    </w:p>
    <w:p>
      <w:pPr>
        <w:spacing w:after="0" w:line="20" w:lineRule="exact"/>
        <w:rPr>
          <w:sz w:val="2"/>
        </w:rPr>
        <w:sectPr>
          <w:pgSz w:w="11910" w:h="16840"/>
          <w:pgMar w:top="1580" w:bottom="280" w:left="1480" w:right="1080"/>
        </w:sectPr>
      </w:pPr>
    </w:p>
    <w:p>
      <w:pPr>
        <w:spacing w:before="63"/>
        <w:ind w:left="384" w:right="0" w:firstLine="0"/>
        <w:jc w:val="left"/>
        <w:rPr>
          <w:sz w:val="28"/>
        </w:rPr>
      </w:pPr>
      <w:r>
        <w:rPr/>
        <w:pict>
          <v:line style="position:absolute;mso-position-horizontal-relative:page;mso-position-vertical-relative:paragraph;z-index:251661312" from="79.320pt,24.229998pt" to="522.72pt,24.229998pt" stroked="true" strokeweight=".6pt" strokecolor="#000000">
            <v:stroke dashstyle="solid"/>
            <w10:wrap type="none"/>
          </v:line>
        </w:pict>
      </w:r>
      <w:r>
        <w:rPr>
          <w:sz w:val="28"/>
        </w:rPr>
        <w:t>微山县人民政府办公室</w:t>
      </w:r>
    </w:p>
    <w:p>
      <w:pPr>
        <w:spacing w:before="202"/>
        <w:ind w:left="10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１６</w:t>
      </w:r>
      <w:r>
        <w:rPr>
          <w:rFonts w:ascii="新宋体" w:eastAsia="新宋体" w:hint="eastAsia"/>
          <w:spacing w:val="-66"/>
          <w:sz w:val="28"/>
        </w:rPr>
        <w:t> </w:t>
      </w:r>
      <w:r>
        <w:rPr>
          <w:rFonts w:ascii="新宋体" w:eastAsia="新宋体" w:hint="eastAsia"/>
          <w:sz w:val="28"/>
        </w:rPr>
        <w:t>－</w:t>
      </w:r>
    </w:p>
    <w:p>
      <w:pPr>
        <w:spacing w:before="63"/>
        <w:ind w:left="106" w:right="0" w:firstLine="0"/>
        <w:jc w:val="left"/>
        <w:rPr>
          <w:sz w:val="28"/>
        </w:rPr>
      </w:pPr>
      <w:r>
        <w:rPr/>
        <w:br w:type="column"/>
      </w:r>
      <w:r>
        <w:rPr>
          <w:rFonts w:ascii="Times New Roman" w:eastAsia="Times New Roman"/>
          <w:sz w:val="28"/>
        </w:rPr>
        <w:t>2020 </w:t>
      </w:r>
      <w:r>
        <w:rPr>
          <w:sz w:val="28"/>
        </w:rPr>
        <w:t>年 </w:t>
      </w:r>
      <w:r>
        <w:rPr>
          <w:rFonts w:ascii="Times New Roman" w:eastAsia="Times New Roman"/>
          <w:sz w:val="28"/>
        </w:rPr>
        <w:t>1 </w:t>
      </w:r>
      <w:r>
        <w:rPr>
          <w:sz w:val="28"/>
        </w:rPr>
        <w:t>月 </w:t>
      </w:r>
      <w:r>
        <w:rPr>
          <w:rFonts w:ascii="Times New Roman" w:eastAsia="Times New Roman"/>
          <w:sz w:val="28"/>
        </w:rPr>
        <w:t>29 </w:t>
      </w:r>
      <w:r>
        <w:rPr>
          <w:sz w:val="28"/>
        </w:rPr>
        <w:t>日印发</w:t>
      </w:r>
    </w:p>
    <w:sectPr>
      <w:type w:val="continuous"/>
      <w:pgSz w:w="11910" w:h="16840"/>
      <w:pgMar w:top="1580" w:bottom="280" w:left="1480" w:right="1080"/>
      <w:cols w:num="2" w:equalWidth="0">
        <w:col w:w="3221" w:space="2639"/>
        <w:col w:w="349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新宋体">
    <w:altName w:val="新宋体"/>
    <w:charset w:val="86"/>
    <w:family w:val="modern"/>
    <w:pitch w:val="fixed"/>
  </w:font>
  <w:font w:name="方正小标宋简体">
    <w:altName w:val="方正小标宋简体"/>
    <w:charset w:val="86"/>
    <w:family w:val="auto"/>
    <w:pitch w:val="variable"/>
  </w:font>
  <w:font w:name="文星仿宋">
    <w:altName w:val="文星仿宋"/>
    <w:charset w:val="86"/>
    <w:family w:val="modern"/>
    <w:pitch w:val="fixed"/>
  </w:font>
  <w:font w:name="文星黑体">
    <w:altName w:val="文星黑体"/>
    <w:charset w:val="86"/>
    <w:family w:val="modern"/>
    <w:pitch w:val="fixed"/>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164" w:hanging="477"/>
        <w:jc w:val="left"/>
      </w:pPr>
      <w:rPr>
        <w:rFonts w:hint="default" w:ascii="Times New Roman" w:hAnsi="Times New Roman" w:eastAsia="Times New Roman" w:cs="Times New Roman"/>
        <w:w w:val="102"/>
        <w:sz w:val="29"/>
        <w:szCs w:val="29"/>
        <w:lang w:val="zh-CN" w:eastAsia="zh-CN" w:bidi="zh-CN"/>
      </w:rPr>
    </w:lvl>
    <w:lvl w:ilvl="1">
      <w:start w:val="0"/>
      <w:numFmt w:val="bullet"/>
      <w:lvlText w:val="•"/>
      <w:lvlJc w:val="left"/>
      <w:pPr>
        <w:ind w:left="2878" w:hanging="477"/>
      </w:pPr>
      <w:rPr>
        <w:rFonts w:hint="default"/>
        <w:lang w:val="zh-CN" w:eastAsia="zh-CN" w:bidi="zh-CN"/>
      </w:rPr>
    </w:lvl>
    <w:lvl w:ilvl="2">
      <w:start w:val="0"/>
      <w:numFmt w:val="bullet"/>
      <w:lvlText w:val="•"/>
      <w:lvlJc w:val="left"/>
      <w:pPr>
        <w:ind w:left="3597" w:hanging="477"/>
      </w:pPr>
      <w:rPr>
        <w:rFonts w:hint="default"/>
        <w:lang w:val="zh-CN" w:eastAsia="zh-CN" w:bidi="zh-CN"/>
      </w:rPr>
    </w:lvl>
    <w:lvl w:ilvl="3">
      <w:start w:val="0"/>
      <w:numFmt w:val="bullet"/>
      <w:lvlText w:val="•"/>
      <w:lvlJc w:val="left"/>
      <w:pPr>
        <w:ind w:left="4315" w:hanging="477"/>
      </w:pPr>
      <w:rPr>
        <w:rFonts w:hint="default"/>
        <w:lang w:val="zh-CN" w:eastAsia="zh-CN" w:bidi="zh-CN"/>
      </w:rPr>
    </w:lvl>
    <w:lvl w:ilvl="4">
      <w:start w:val="0"/>
      <w:numFmt w:val="bullet"/>
      <w:lvlText w:val="•"/>
      <w:lvlJc w:val="left"/>
      <w:pPr>
        <w:ind w:left="5034" w:hanging="477"/>
      </w:pPr>
      <w:rPr>
        <w:rFonts w:hint="default"/>
        <w:lang w:val="zh-CN" w:eastAsia="zh-CN" w:bidi="zh-CN"/>
      </w:rPr>
    </w:lvl>
    <w:lvl w:ilvl="5">
      <w:start w:val="0"/>
      <w:numFmt w:val="bullet"/>
      <w:lvlText w:val="•"/>
      <w:lvlJc w:val="left"/>
      <w:pPr>
        <w:ind w:left="5752" w:hanging="477"/>
      </w:pPr>
      <w:rPr>
        <w:rFonts w:hint="default"/>
        <w:lang w:val="zh-CN" w:eastAsia="zh-CN" w:bidi="zh-CN"/>
      </w:rPr>
    </w:lvl>
    <w:lvl w:ilvl="6">
      <w:start w:val="0"/>
      <w:numFmt w:val="bullet"/>
      <w:lvlText w:val="•"/>
      <w:lvlJc w:val="left"/>
      <w:pPr>
        <w:ind w:left="6471" w:hanging="477"/>
      </w:pPr>
      <w:rPr>
        <w:rFonts w:hint="default"/>
        <w:lang w:val="zh-CN" w:eastAsia="zh-CN" w:bidi="zh-CN"/>
      </w:rPr>
    </w:lvl>
    <w:lvl w:ilvl="7">
      <w:start w:val="0"/>
      <w:numFmt w:val="bullet"/>
      <w:lvlText w:val="•"/>
      <w:lvlJc w:val="left"/>
      <w:pPr>
        <w:ind w:left="7189" w:hanging="477"/>
      </w:pPr>
      <w:rPr>
        <w:rFonts w:hint="default"/>
        <w:lang w:val="zh-CN" w:eastAsia="zh-CN" w:bidi="zh-CN"/>
      </w:rPr>
    </w:lvl>
    <w:lvl w:ilvl="8">
      <w:start w:val="0"/>
      <w:numFmt w:val="bullet"/>
      <w:lvlText w:val="•"/>
      <w:lvlJc w:val="left"/>
      <w:pPr>
        <w:ind w:left="7908" w:hanging="477"/>
      </w:pPr>
      <w:rPr>
        <w:rFonts w:hint="default"/>
        <w:lang w:val="zh-CN" w:eastAsia="zh-CN" w:bidi="zh-CN"/>
      </w:rPr>
    </w:lvl>
  </w:abstractNum>
  <w:abstractNum w:abstractNumId="1">
    <w:multiLevelType w:val="hybridMultilevel"/>
    <w:lvl w:ilvl="0">
      <w:start w:val="1"/>
      <w:numFmt w:val="decimal"/>
      <w:lvlText w:val="%1."/>
      <w:lvlJc w:val="left"/>
      <w:pPr>
        <w:ind w:left="1218" w:hanging="477"/>
        <w:jc w:val="left"/>
      </w:pPr>
      <w:rPr>
        <w:rFonts w:hint="default" w:ascii="Times New Roman" w:hAnsi="Times New Roman" w:eastAsia="Times New Roman" w:cs="Times New Roman"/>
        <w:w w:val="102"/>
        <w:sz w:val="29"/>
        <w:szCs w:val="29"/>
        <w:lang w:val="zh-CN" w:eastAsia="zh-CN" w:bidi="zh-CN"/>
      </w:rPr>
    </w:lvl>
    <w:lvl w:ilvl="1">
      <w:start w:val="0"/>
      <w:numFmt w:val="bullet"/>
      <w:lvlText w:val="•"/>
      <w:lvlJc w:val="left"/>
      <w:pPr>
        <w:ind w:left="2032" w:hanging="477"/>
      </w:pPr>
      <w:rPr>
        <w:rFonts w:hint="default"/>
        <w:lang w:val="zh-CN" w:eastAsia="zh-CN" w:bidi="zh-CN"/>
      </w:rPr>
    </w:lvl>
    <w:lvl w:ilvl="2">
      <w:start w:val="0"/>
      <w:numFmt w:val="bullet"/>
      <w:lvlText w:val="•"/>
      <w:lvlJc w:val="left"/>
      <w:pPr>
        <w:ind w:left="2845" w:hanging="477"/>
      </w:pPr>
      <w:rPr>
        <w:rFonts w:hint="default"/>
        <w:lang w:val="zh-CN" w:eastAsia="zh-CN" w:bidi="zh-CN"/>
      </w:rPr>
    </w:lvl>
    <w:lvl w:ilvl="3">
      <w:start w:val="0"/>
      <w:numFmt w:val="bullet"/>
      <w:lvlText w:val="•"/>
      <w:lvlJc w:val="left"/>
      <w:pPr>
        <w:ind w:left="3657" w:hanging="477"/>
      </w:pPr>
      <w:rPr>
        <w:rFonts w:hint="default"/>
        <w:lang w:val="zh-CN" w:eastAsia="zh-CN" w:bidi="zh-CN"/>
      </w:rPr>
    </w:lvl>
    <w:lvl w:ilvl="4">
      <w:start w:val="0"/>
      <w:numFmt w:val="bullet"/>
      <w:lvlText w:val="•"/>
      <w:lvlJc w:val="left"/>
      <w:pPr>
        <w:ind w:left="4470" w:hanging="477"/>
      </w:pPr>
      <w:rPr>
        <w:rFonts w:hint="default"/>
        <w:lang w:val="zh-CN" w:eastAsia="zh-CN" w:bidi="zh-CN"/>
      </w:rPr>
    </w:lvl>
    <w:lvl w:ilvl="5">
      <w:start w:val="0"/>
      <w:numFmt w:val="bullet"/>
      <w:lvlText w:val="•"/>
      <w:lvlJc w:val="left"/>
      <w:pPr>
        <w:ind w:left="5282" w:hanging="477"/>
      </w:pPr>
      <w:rPr>
        <w:rFonts w:hint="default"/>
        <w:lang w:val="zh-CN" w:eastAsia="zh-CN" w:bidi="zh-CN"/>
      </w:rPr>
    </w:lvl>
    <w:lvl w:ilvl="6">
      <w:start w:val="0"/>
      <w:numFmt w:val="bullet"/>
      <w:lvlText w:val="•"/>
      <w:lvlJc w:val="left"/>
      <w:pPr>
        <w:ind w:left="6095" w:hanging="477"/>
      </w:pPr>
      <w:rPr>
        <w:rFonts w:hint="default"/>
        <w:lang w:val="zh-CN" w:eastAsia="zh-CN" w:bidi="zh-CN"/>
      </w:rPr>
    </w:lvl>
    <w:lvl w:ilvl="7">
      <w:start w:val="0"/>
      <w:numFmt w:val="bullet"/>
      <w:lvlText w:val="•"/>
      <w:lvlJc w:val="left"/>
      <w:pPr>
        <w:ind w:left="6907" w:hanging="477"/>
      </w:pPr>
      <w:rPr>
        <w:rFonts w:hint="default"/>
        <w:lang w:val="zh-CN" w:eastAsia="zh-CN" w:bidi="zh-CN"/>
      </w:rPr>
    </w:lvl>
    <w:lvl w:ilvl="8">
      <w:start w:val="0"/>
      <w:numFmt w:val="bullet"/>
      <w:lvlText w:val="•"/>
      <w:lvlJc w:val="left"/>
      <w:pPr>
        <w:ind w:left="7720" w:hanging="477"/>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文星仿宋" w:hAnsi="文星仿宋" w:eastAsia="文星仿宋" w:cs="文星仿宋"/>
      <w:lang w:val="zh-CN" w:eastAsia="zh-CN" w:bidi="zh-CN"/>
    </w:rPr>
  </w:style>
  <w:style w:styleId="BodyText" w:type="paragraph">
    <w:name w:val="Body Text"/>
    <w:basedOn w:val="Normal"/>
    <w:uiPriority w:val="1"/>
    <w:qFormat/>
    <w:pPr/>
    <w:rPr>
      <w:rFonts w:ascii="文星仿宋" w:hAnsi="文星仿宋" w:eastAsia="文星仿宋" w:cs="文星仿宋"/>
      <w:sz w:val="31"/>
      <w:szCs w:val="31"/>
      <w:lang w:val="zh-CN" w:eastAsia="zh-CN" w:bidi="zh-CN"/>
    </w:rPr>
  </w:style>
  <w:style w:styleId="Heading1" w:type="paragraph">
    <w:name w:val="Heading 1"/>
    <w:basedOn w:val="Normal"/>
    <w:uiPriority w:val="1"/>
    <w:qFormat/>
    <w:pPr>
      <w:ind w:left="543" w:right="829"/>
      <w:jc w:val="center"/>
      <w:outlineLvl w:val="1"/>
    </w:pPr>
    <w:rPr>
      <w:rFonts w:ascii="方正小标宋简体" w:hAnsi="方正小标宋简体" w:eastAsia="方正小标宋简体" w:cs="方正小标宋简体"/>
      <w:sz w:val="42"/>
      <w:szCs w:val="42"/>
      <w:lang w:val="zh-CN" w:eastAsia="zh-CN" w:bidi="zh-CN"/>
    </w:rPr>
  </w:style>
  <w:style w:styleId="ListParagraph" w:type="paragraph">
    <w:name w:val="List Paragraph"/>
    <w:basedOn w:val="Normal"/>
    <w:uiPriority w:val="1"/>
    <w:qFormat/>
    <w:pPr>
      <w:ind w:left="106" w:right="393" w:firstLine="636"/>
    </w:pPr>
    <w:rPr>
      <w:rFonts w:ascii="文星仿宋" w:hAnsi="文星仿宋" w:eastAsia="文星仿宋" w:cs="文星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2020-12-29T06:06:59Z</dcterms:created>
  <dcterms:modified xsi:type="dcterms:W3CDTF">2020-12-29T06:06:59Z</dcterms:modified>
</cp:coreProperties>
</file>