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</w:p>
    <w:tbl>
      <w:tblPr>
        <w:tblStyle w:val="3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008"/>
        <w:gridCol w:w="3121"/>
        <w:gridCol w:w="1237"/>
        <w:gridCol w:w="1235"/>
        <w:gridCol w:w="696"/>
        <w:gridCol w:w="4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43"/>
                <w:szCs w:val="43"/>
              </w:rPr>
              <w:t>微山</w:t>
            </w:r>
            <w:bookmarkStart w:id="0" w:name="_GoBack"/>
            <w:bookmarkEnd w:id="0"/>
            <w:r>
              <w:rPr>
                <w:rFonts w:ascii="黑体" w:hAnsi="宋体" w:eastAsia="黑体" w:cs="黑体"/>
                <w:sz w:val="43"/>
                <w:szCs w:val="43"/>
              </w:rPr>
              <w:t>县发展和改革局主动公开基本目录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目录类别</w:t>
            </w:r>
          </w:p>
        </w:tc>
        <w:tc>
          <w:tcPr>
            <w:tcW w:w="60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目录名称</w:t>
            </w:r>
          </w:p>
        </w:tc>
        <w:tc>
          <w:tcPr>
            <w:tcW w:w="18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公开内容</w:t>
            </w:r>
          </w:p>
        </w:tc>
        <w:tc>
          <w:tcPr>
            <w:tcW w:w="74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公开主体</w:t>
            </w:r>
          </w:p>
        </w:tc>
        <w:tc>
          <w:tcPr>
            <w:tcW w:w="74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公开时限</w:t>
            </w: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公开方式</w:t>
            </w:r>
          </w:p>
        </w:tc>
        <w:tc>
          <w:tcPr>
            <w:tcW w:w="2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公开对象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机构职能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依据“三定”方案及职责调整情况确定的本部门最新工作职责、内设机构（办公地址、办公时间、联系方式）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县发改局人事科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领导信息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领导姓名、工作职务、工作分工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县发改局人事科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组织管理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政务公开组织领导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政务公开工作机构、政务公开领导小组成立情况、政务公开负责人信息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政务公开工作推进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政务公开实施方案、工作要点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政务公开业务培训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参加政务公开培训情况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部门公文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县发改局发布的文件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规范性文件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正式文件、意见征集和反馈、文件备案和清理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对出台政策文件采用新闻发布、图文、动漫多种形式进行解读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3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部门会议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县发改局主办的重大会议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规划计划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行业规划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规划内容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县发改局规划科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计划总结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计划总结信息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县发改局综合科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人事信息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人事任免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人事任免信息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县发改局人事科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公务员考录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公务员考录信息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县发改局人事科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3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市直部门预决算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部门预算、部门决算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按年度公开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行政权力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决策公开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重大决策目录范围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县发改局政策法规科</w:t>
            </w:r>
          </w:p>
        </w:tc>
        <w:tc>
          <w:tcPr>
            <w:tcW w:w="742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管理和服务公开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权责清单</w:t>
            </w:r>
          </w:p>
        </w:tc>
        <w:tc>
          <w:tcPr>
            <w:tcW w:w="743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42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执行和落实公开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政府工作报告、年度重点工作、民生实事项目等重大决策部署的执行公开</w:t>
            </w:r>
          </w:p>
        </w:tc>
        <w:tc>
          <w:tcPr>
            <w:tcW w:w="743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42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重点领域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市政府年度重点任务信息公开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新旧动能转换重大工程、乡村振兴、优化营商环境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县发改局动能办、农经科、政策法规科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信用信息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行政许可、行政处罚“双公示”、国家企业信用信息公示系统（济宁）、信用山东（济宁）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市直各部门单位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“双随机、一公开”监管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随机抽查事项清单、抽查计划、抽查结果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县发改局评估督导科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价格与收费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行政事业性收费、政府定价目录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县发改局价格管理科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建议提案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人大代表建议办理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人大代表建议办理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政协委员提案办理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政协委员提案办理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建议和提案总体情况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建议和提案总体情况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相关信息形成或变更之日起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1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业务动态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政务要闻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政务要闻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即时信息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1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通知公告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通知公告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县发改局有相关职能的业务科室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即时信息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3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年度工作报告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按部门分类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部门年度工作报告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县发改局综合科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每年的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日前公开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3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信息公开指南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按部门分类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部门信息公开指南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县发改局办公室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即时信息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微山县政府门户网站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全社会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UxOTg5Y2U0MTg4YjAzMDFkOGJhNmFlZGYxNWIifQ=="/>
  </w:docVars>
  <w:rsids>
    <w:rsidRoot w:val="19B76638"/>
    <w:rsid w:val="19B76638"/>
    <w:rsid w:val="483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2021-12-27T02:03:00Z</dcterms:created>
  <dc:creator>微发改</dc:creator>
  <cp:lastModifiedBy>劉慧</cp:lastModifiedBy>
  <dcterms:modified xsi:type="dcterms:W3CDTF">2023-09-11T08:07:39Z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FCD2423662354EA195662086EF2D3ADD_13</vt:lpwstr>
  </property>
</Properties>
</file>