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宋体" w:eastAsia="宋体" w:cs="宋体"/>
          <w:b/>
          <w:bCs/>
          <w:snapToGrid/>
          <w:kern w:val="0"/>
          <w:sz w:val="42"/>
          <w:szCs w:val="42"/>
          <w:lang w:val="en-US" w:eastAsia="zh-CN" w:bidi="ar-SA"/>
        </w:rPr>
      </w:pPr>
      <w:r>
        <w:rPr>
          <w:rFonts w:hint="eastAsia" w:ascii="Times New Roman" w:hAnsi="宋体" w:eastAsia="宋体" w:cs="宋体"/>
          <w:b/>
          <w:bCs/>
          <w:snapToGrid/>
          <w:kern w:val="0"/>
          <w:sz w:val="42"/>
          <w:szCs w:val="42"/>
          <w:lang w:val="en-US" w:eastAsia="zh-CN" w:bidi="ar-SA"/>
        </w:rPr>
        <w:t>微山县微山岛旅游度假区管理服务中心</w:t>
      </w:r>
      <w:r>
        <w:rPr>
          <w:rFonts w:hint="eastAsia" w:ascii="Times New Roman" w:hAnsi="Times New Roman" w:eastAsia="仿宋" w:cs="Times New Roman"/>
          <w:spacing w:val="-12"/>
          <w:sz w:val="40"/>
          <w:szCs w:val="40"/>
          <w:lang w:val="en-US" w:eastAsia="zh-CN"/>
        </w:rPr>
        <w:t>2022</w:t>
      </w:r>
      <w:r>
        <w:rPr>
          <w:rFonts w:hint="eastAsia" w:ascii="Times New Roman" w:hAnsi="宋体" w:eastAsia="宋体" w:cs="宋体"/>
          <w:b/>
          <w:bCs/>
          <w:snapToGrid/>
          <w:kern w:val="0"/>
          <w:sz w:val="42"/>
          <w:szCs w:val="42"/>
          <w:lang w:val="en-US" w:eastAsia="zh-CN" w:bidi="ar-SA"/>
        </w:rPr>
        <w:t>年</w:t>
      </w:r>
    </w:p>
    <w:p>
      <w:pPr>
        <w:jc w:val="center"/>
        <w:rPr>
          <w:rFonts w:ascii="Arial"/>
          <w:sz w:val="21"/>
        </w:rPr>
      </w:pPr>
      <w:r>
        <w:rPr>
          <w:rFonts w:hint="eastAsia" w:ascii="Times New Roman" w:hAnsi="宋体" w:eastAsia="宋体" w:cs="宋体"/>
          <w:b/>
          <w:bCs/>
          <w:snapToGrid/>
          <w:kern w:val="0"/>
          <w:sz w:val="42"/>
          <w:szCs w:val="42"/>
          <w:lang w:val="en-US" w:eastAsia="zh-CN" w:bidi="ar-SA"/>
        </w:rPr>
        <w:t>政府信息公开工作年度报告</w:t>
      </w:r>
    </w:p>
    <w:p>
      <w:pPr>
        <w:spacing w:before="100" w:line="351" w:lineRule="auto"/>
        <w:ind w:left="5" w:firstLine="616"/>
        <w:jc w:val="both"/>
        <w:rPr>
          <w:rFonts w:hint="eastAsia" w:ascii="Times New Roman" w:hAnsi="Times New Roman" w:eastAsia="仿宋" w:cs="Times New Roman"/>
          <w:i w:val="0"/>
          <w:caps w:val="0"/>
          <w:snapToGrid/>
          <w:color w:val="000000"/>
          <w:spacing w:val="0"/>
          <w:kern w:val="2"/>
          <w:sz w:val="32"/>
          <w:szCs w:val="32"/>
          <w:shd w:val="clear" w:color="auto" w:fill="FFFFFF"/>
          <w:lang w:val="en-US" w:eastAsia="zh-CN" w:bidi="ar-SA"/>
        </w:rPr>
      </w:pPr>
      <w:r>
        <w:rPr>
          <w:rFonts w:hint="eastAsia" w:ascii="仿宋" w:hAnsi="仿宋" w:eastAsia="仿宋" w:cs="仿宋"/>
          <w:i w:val="0"/>
          <w:caps w:val="0"/>
          <w:snapToGrid/>
          <w:color w:val="000000"/>
          <w:spacing w:val="0"/>
          <w:kern w:val="2"/>
          <w:sz w:val="32"/>
          <w:szCs w:val="32"/>
          <w:shd w:val="clear" w:color="auto" w:fill="FFFFFF"/>
          <w:lang w:val="en-US" w:eastAsia="zh-CN" w:bidi="ar-SA"/>
        </w:rPr>
        <w:t>本报告由微山县微山岛旅游度假区管理服务中心按照《中华人民共和国政府信息公开条例》(以下简称《条例》)和《中</w:t>
      </w:r>
      <w:r>
        <w:rPr>
          <w:rFonts w:hint="default" w:ascii="仿宋" w:hAnsi="仿宋" w:eastAsia="仿宋" w:cs="仿宋"/>
          <w:i w:val="0"/>
          <w:caps w:val="0"/>
          <w:snapToGrid/>
          <w:color w:val="000000"/>
          <w:spacing w:val="0"/>
          <w:kern w:val="2"/>
          <w:sz w:val="32"/>
          <w:szCs w:val="32"/>
          <w:shd w:val="clear" w:color="auto" w:fill="FFFFFF"/>
          <w:lang w:val="en-US" w:eastAsia="zh-CN" w:bidi="ar-SA"/>
        </w:rPr>
        <w:t>华人民共和国政府信息公开工作年</w:t>
      </w:r>
      <w:r>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t>度报告格式》(国办公开办函〔2021〕30</w:t>
      </w:r>
      <w:r>
        <w:rPr>
          <w:rFonts w:hint="eastAsia" w:ascii="Times New Roman" w:hAnsi="Times New Roman" w:eastAsia="仿宋" w:cs="Times New Roman"/>
          <w:i w:val="0"/>
          <w:caps w:val="0"/>
          <w:snapToGrid/>
          <w:color w:val="000000"/>
          <w:spacing w:val="0"/>
          <w:kern w:val="2"/>
          <w:sz w:val="32"/>
          <w:szCs w:val="32"/>
          <w:shd w:val="clear" w:color="auto" w:fill="FFFFFF"/>
          <w:lang w:val="en-US" w:eastAsia="zh-CN" w:bidi="ar-SA"/>
        </w:rPr>
        <w:t>号)要求编制。</w:t>
      </w:r>
    </w:p>
    <w:p>
      <w:pPr>
        <w:spacing w:before="100" w:line="351" w:lineRule="auto"/>
        <w:ind w:left="5" w:firstLine="616"/>
        <w:jc w:val="both"/>
        <w:rPr>
          <w:rFonts w:hint="eastAsia" w:ascii="仿宋" w:hAnsi="仿宋" w:eastAsia="仿宋" w:cs="仿宋"/>
          <w:i w:val="0"/>
          <w:caps w:val="0"/>
          <w:snapToGrid/>
          <w:color w:val="000000"/>
          <w:spacing w:val="0"/>
          <w:kern w:val="2"/>
          <w:sz w:val="32"/>
          <w:szCs w:val="32"/>
          <w:shd w:val="clear" w:color="auto" w:fill="FFFFFF"/>
          <w:lang w:val="en-US" w:eastAsia="zh-CN" w:bidi="ar-SA"/>
        </w:rPr>
      </w:pPr>
      <w:r>
        <w:rPr>
          <w:rFonts w:hint="eastAsia" w:ascii="Times New Roman" w:hAnsi="Times New Roman" w:eastAsia="仿宋" w:cs="Times New Roman"/>
          <w:i w:val="0"/>
          <w:caps w:val="0"/>
          <w:snapToGrid/>
          <w:color w:val="000000"/>
          <w:spacing w:val="0"/>
          <w:kern w:val="2"/>
          <w:sz w:val="32"/>
          <w:szCs w:val="32"/>
          <w:shd w:val="clear" w:color="auto" w:fill="FFFFFF"/>
          <w:lang w:val="en-US" w:eastAsia="zh-CN" w:bidi="ar-SA"/>
        </w:rPr>
        <w:t>本报告内容包括总体情况、主动公开政府信息情况、收到和处理政府信息公开申请情况、政府信息公开行政复议和行政诉讼情况、存</w:t>
      </w:r>
      <w:r>
        <w:rPr>
          <w:rFonts w:hint="eastAsia" w:ascii="仿宋" w:hAnsi="仿宋" w:eastAsia="仿宋" w:cs="仿宋"/>
          <w:i w:val="0"/>
          <w:caps w:val="0"/>
          <w:snapToGrid/>
          <w:color w:val="000000"/>
          <w:spacing w:val="0"/>
          <w:kern w:val="2"/>
          <w:sz w:val="32"/>
          <w:szCs w:val="32"/>
          <w:shd w:val="clear" w:color="auto" w:fill="FFFFFF"/>
          <w:lang w:val="en-US" w:eastAsia="zh-CN" w:bidi="ar-SA"/>
        </w:rPr>
        <w:t>在的主要问题及改进情况、其他需要报告的事项等六部分内容。</w:t>
      </w:r>
    </w:p>
    <w:p>
      <w:pPr>
        <w:spacing w:before="100" w:line="351" w:lineRule="auto"/>
        <w:ind w:left="5" w:firstLine="616"/>
        <w:jc w:val="both"/>
        <w:rPr>
          <w:rFonts w:hint="eastAsia" w:ascii="Times New Roman" w:hAnsi="Times New Roman" w:eastAsia="仿宋" w:cs="Times New Roman"/>
          <w:i w:val="0"/>
          <w:caps w:val="0"/>
          <w:snapToGrid/>
          <w:color w:val="000000"/>
          <w:spacing w:val="0"/>
          <w:kern w:val="2"/>
          <w:sz w:val="32"/>
          <w:szCs w:val="32"/>
          <w:shd w:val="clear" w:color="auto" w:fill="FFFFFF"/>
          <w:lang w:val="en-US" w:eastAsia="zh-CN" w:bidi="ar-SA"/>
        </w:rPr>
      </w:pPr>
      <w:r>
        <w:rPr>
          <w:rFonts w:hint="eastAsia" w:ascii="Times New Roman" w:hAnsi="Times New Roman" w:eastAsia="仿宋" w:cs="Times New Roman"/>
          <w:i w:val="0"/>
          <w:caps w:val="0"/>
          <w:snapToGrid/>
          <w:color w:val="000000"/>
          <w:spacing w:val="0"/>
          <w:kern w:val="2"/>
          <w:sz w:val="32"/>
          <w:szCs w:val="32"/>
          <w:shd w:val="clear" w:color="auto" w:fill="FFFFFF"/>
          <w:lang w:val="en-US" w:eastAsia="zh-CN" w:bidi="ar-SA"/>
        </w:rPr>
        <w:t>本报告所列数据的统计期限自2022年1月1日起至2022年12月31日止。本报告电子版可在“中国·微山”政府门户网站（http://www.weishan.gov.cn/）查阅或下载。如对本报告有疑问，请与微山县微山岛旅游度假区管理服务中心联系（地址：微山县微湖码头继花山庄院内，联系电话：0537-8238398）。</w:t>
      </w:r>
    </w:p>
    <w:p>
      <w:pPr>
        <w:spacing w:before="1" w:line="228" w:lineRule="auto"/>
        <w:ind w:left="616"/>
        <w:rPr>
          <w:rFonts w:ascii="黑体" w:hAnsi="黑体" w:eastAsia="黑体" w:cs="黑体"/>
          <w:sz w:val="31"/>
          <w:szCs w:val="31"/>
        </w:rPr>
      </w:pPr>
      <w:r>
        <w:rPr>
          <w:rFonts w:ascii="黑体" w:hAnsi="黑体" w:eastAsia="黑体" w:cs="黑体"/>
          <w:spacing w:val="2"/>
          <w:sz w:val="31"/>
          <w:szCs w:val="31"/>
        </w:rPr>
        <w:t>一</w:t>
      </w:r>
      <w:r>
        <w:rPr>
          <w:rFonts w:ascii="黑体" w:hAnsi="黑体" w:eastAsia="黑体" w:cs="黑体"/>
          <w:spacing w:val="1"/>
          <w:sz w:val="31"/>
          <w:szCs w:val="31"/>
        </w:rPr>
        <w:t>、总体情况</w:t>
      </w:r>
    </w:p>
    <w:p>
      <w:pPr>
        <w:spacing w:before="100" w:line="351" w:lineRule="auto"/>
        <w:ind w:left="5" w:firstLine="616"/>
        <w:jc w:val="both"/>
        <w:rPr>
          <w:rFonts w:hint="eastAsia" w:ascii="仿宋" w:hAnsi="仿宋" w:eastAsia="仿宋" w:cs="仿宋"/>
          <w:i w:val="0"/>
          <w:caps w:val="0"/>
          <w:snapToGrid/>
          <w:color w:val="000000"/>
          <w:spacing w:val="0"/>
          <w:kern w:val="2"/>
          <w:sz w:val="32"/>
          <w:szCs w:val="32"/>
          <w:shd w:val="clear" w:color="auto" w:fill="FFFFFF"/>
          <w:lang w:val="en-US" w:eastAsia="zh-CN" w:bidi="ar-SA"/>
        </w:rPr>
      </w:pPr>
      <w:r>
        <w:rPr>
          <w:rFonts w:hint="eastAsia" w:ascii="仿宋" w:hAnsi="仿宋" w:eastAsia="仿宋" w:cs="仿宋"/>
          <w:i w:val="0"/>
          <w:caps w:val="0"/>
          <w:snapToGrid/>
          <w:color w:val="000000"/>
          <w:spacing w:val="0"/>
          <w:kern w:val="2"/>
          <w:sz w:val="32"/>
          <w:szCs w:val="32"/>
          <w:shd w:val="clear" w:color="auto" w:fill="FFFFFF"/>
          <w:lang w:val="en-US" w:eastAsia="zh-CN" w:bidi="ar-SA"/>
        </w:rPr>
        <w:t>今年以来，微山县微山岛旅游度假区管理服务中心深入贯彻落实《条例》，</w:t>
      </w:r>
      <w:r>
        <w:rPr>
          <w:rFonts w:hint="default" w:ascii="仿宋" w:hAnsi="仿宋" w:eastAsia="仿宋" w:cs="仿宋"/>
          <w:i w:val="0"/>
          <w:caps w:val="0"/>
          <w:snapToGrid/>
          <w:color w:val="000000"/>
          <w:spacing w:val="0"/>
          <w:kern w:val="2"/>
          <w:sz w:val="32"/>
          <w:szCs w:val="32"/>
          <w:shd w:val="clear" w:color="auto" w:fill="FFFFFF"/>
          <w:lang w:val="en-US" w:eastAsia="zh-CN" w:bidi="ar-SA"/>
        </w:rPr>
        <w:t>全面落实</w:t>
      </w:r>
      <w:r>
        <w:rPr>
          <w:rFonts w:hint="eastAsia" w:ascii="仿宋" w:hAnsi="仿宋" w:eastAsia="仿宋" w:cs="仿宋"/>
          <w:i w:val="0"/>
          <w:caps w:val="0"/>
          <w:snapToGrid/>
          <w:color w:val="000000"/>
          <w:spacing w:val="0"/>
          <w:kern w:val="2"/>
          <w:sz w:val="32"/>
          <w:szCs w:val="32"/>
          <w:shd w:val="clear" w:color="auto" w:fill="FFFFFF"/>
          <w:lang w:val="en-US" w:eastAsia="zh-CN" w:bidi="ar-SA"/>
        </w:rPr>
        <w:t>县委、县政府</w:t>
      </w:r>
      <w:r>
        <w:rPr>
          <w:rFonts w:hint="default" w:ascii="仿宋" w:hAnsi="仿宋" w:eastAsia="仿宋" w:cs="仿宋"/>
          <w:i w:val="0"/>
          <w:caps w:val="0"/>
          <w:snapToGrid/>
          <w:color w:val="000000"/>
          <w:spacing w:val="0"/>
          <w:kern w:val="2"/>
          <w:sz w:val="32"/>
          <w:szCs w:val="32"/>
          <w:shd w:val="clear" w:color="auto" w:fill="FFFFFF"/>
          <w:lang w:val="en-US" w:eastAsia="zh-CN" w:bidi="ar-SA"/>
        </w:rPr>
        <w:t>关于加强政务公开的工作要求，</w:t>
      </w:r>
      <w:r>
        <w:rPr>
          <w:rFonts w:hint="eastAsia" w:ascii="仿宋" w:hAnsi="仿宋" w:eastAsia="仿宋" w:cs="仿宋"/>
          <w:i w:val="0"/>
          <w:caps w:val="0"/>
          <w:snapToGrid/>
          <w:color w:val="000000"/>
          <w:spacing w:val="0"/>
          <w:kern w:val="2"/>
          <w:sz w:val="32"/>
          <w:szCs w:val="32"/>
          <w:shd w:val="clear" w:color="auto" w:fill="FFFFFF"/>
          <w:lang w:val="en-US" w:eastAsia="zh-CN" w:bidi="ar-SA"/>
        </w:rPr>
        <w:t>主动作为，积极探索，</w:t>
      </w:r>
      <w:r>
        <w:rPr>
          <w:rFonts w:hint="default" w:ascii="仿宋" w:hAnsi="仿宋" w:eastAsia="仿宋" w:cs="仿宋"/>
          <w:i w:val="0"/>
          <w:caps w:val="0"/>
          <w:snapToGrid/>
          <w:color w:val="000000"/>
          <w:spacing w:val="0"/>
          <w:kern w:val="2"/>
          <w:sz w:val="32"/>
          <w:szCs w:val="32"/>
          <w:shd w:val="clear" w:color="auto" w:fill="FFFFFF"/>
          <w:lang w:val="en-US" w:eastAsia="zh-CN" w:bidi="ar-SA"/>
        </w:rPr>
        <w:t>不断加强政务公开制度化规范化建设，</w:t>
      </w:r>
      <w:r>
        <w:rPr>
          <w:rFonts w:hint="eastAsia" w:ascii="仿宋" w:hAnsi="仿宋" w:eastAsia="仿宋" w:cs="仿宋"/>
          <w:i w:val="0"/>
          <w:caps w:val="0"/>
          <w:snapToGrid/>
          <w:color w:val="000000"/>
          <w:spacing w:val="0"/>
          <w:kern w:val="2"/>
          <w:sz w:val="32"/>
          <w:szCs w:val="32"/>
          <w:shd w:val="clear" w:color="auto" w:fill="FFFFFF"/>
          <w:lang w:val="en-US" w:eastAsia="zh-CN" w:bidi="ar-SA"/>
        </w:rPr>
        <w:t>政务公开制度化、标准化、信息化水平稳步提升。</w:t>
      </w:r>
      <w:r>
        <w:rPr>
          <w:rFonts w:hint="default" w:ascii="仿宋" w:hAnsi="仿宋" w:eastAsia="仿宋" w:cs="仿宋"/>
          <w:i w:val="0"/>
          <w:caps w:val="0"/>
          <w:snapToGrid/>
          <w:color w:val="000000"/>
          <w:spacing w:val="0"/>
          <w:kern w:val="2"/>
          <w:sz w:val="32"/>
          <w:szCs w:val="32"/>
          <w:shd w:val="clear" w:color="auto" w:fill="FFFFFF"/>
          <w:lang w:val="en-US" w:eastAsia="zh-CN" w:bidi="ar-SA"/>
        </w:rPr>
        <w:t>现将我单位202</w:t>
      </w:r>
      <w:r>
        <w:rPr>
          <w:rFonts w:hint="eastAsia" w:ascii="仿宋" w:hAnsi="仿宋" w:eastAsia="仿宋" w:cs="仿宋"/>
          <w:i w:val="0"/>
          <w:caps w:val="0"/>
          <w:snapToGrid/>
          <w:color w:val="000000"/>
          <w:spacing w:val="0"/>
          <w:kern w:val="2"/>
          <w:sz w:val="32"/>
          <w:szCs w:val="32"/>
          <w:shd w:val="clear" w:color="auto" w:fill="FFFFFF"/>
          <w:lang w:val="en-US" w:eastAsia="zh-CN" w:bidi="ar-SA"/>
        </w:rPr>
        <w:t>2</w:t>
      </w:r>
      <w:r>
        <w:rPr>
          <w:rFonts w:hint="default" w:ascii="仿宋" w:hAnsi="仿宋" w:eastAsia="仿宋" w:cs="仿宋"/>
          <w:i w:val="0"/>
          <w:caps w:val="0"/>
          <w:snapToGrid/>
          <w:color w:val="000000"/>
          <w:spacing w:val="0"/>
          <w:kern w:val="2"/>
          <w:sz w:val="32"/>
          <w:szCs w:val="32"/>
          <w:shd w:val="clear" w:color="auto" w:fill="FFFFFF"/>
          <w:lang w:val="en-US" w:eastAsia="zh-CN" w:bidi="ar-SA"/>
        </w:rPr>
        <w:t>年政府信息公开工作情况总结如下：</w:t>
      </w:r>
    </w:p>
    <w:p>
      <w:pPr>
        <w:spacing w:before="100" w:line="351" w:lineRule="auto"/>
        <w:ind w:firstLine="640" w:firstLineChars="200"/>
        <w:jc w:val="both"/>
        <w:rPr>
          <w:rFonts w:hint="eastAsia" w:ascii="仿宋" w:hAnsi="仿宋" w:eastAsia="仿宋" w:cs="仿宋"/>
          <w:i w:val="0"/>
          <w:caps w:val="0"/>
          <w:snapToGrid/>
          <w:color w:val="000000"/>
          <w:spacing w:val="0"/>
          <w:kern w:val="2"/>
          <w:sz w:val="32"/>
          <w:szCs w:val="32"/>
          <w:shd w:val="clear" w:color="auto" w:fill="FFFFFF"/>
          <w:lang w:val="en-US" w:eastAsia="zh-CN" w:bidi="ar-SA"/>
        </w:rPr>
      </w:pPr>
      <w:r>
        <w:rPr>
          <w:rFonts w:hint="eastAsia" w:ascii="仿宋" w:hAnsi="仿宋" w:eastAsia="仿宋" w:cs="仿宋"/>
          <w:i w:val="0"/>
          <w:caps w:val="0"/>
          <w:snapToGrid/>
          <w:color w:val="000000"/>
          <w:spacing w:val="0"/>
          <w:kern w:val="2"/>
          <w:sz w:val="32"/>
          <w:szCs w:val="32"/>
          <w:shd w:val="clear" w:color="auto" w:fill="FFFFFF"/>
          <w:lang w:val="en-US" w:eastAsia="zh-CN" w:bidi="ar-SA"/>
        </w:rPr>
        <w:t>(一)主动公开情况</w:t>
      </w:r>
    </w:p>
    <w:p>
      <w:pPr>
        <w:spacing w:before="100" w:line="351" w:lineRule="auto"/>
        <w:ind w:left="5" w:firstLine="616"/>
        <w:jc w:val="both"/>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pPr>
      <w:r>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t>2022年，微山县微山岛旅游度假区管理服务中心通过政府信息公开平台主动公开政府信息共2</w:t>
      </w:r>
      <w:r>
        <w:rPr>
          <w:rFonts w:hint="eastAsia" w:ascii="Times New Roman" w:hAnsi="Times New Roman" w:eastAsia="仿宋" w:cs="Times New Roman"/>
          <w:i w:val="0"/>
          <w:caps w:val="0"/>
          <w:snapToGrid/>
          <w:color w:val="000000"/>
          <w:spacing w:val="0"/>
          <w:kern w:val="2"/>
          <w:sz w:val="32"/>
          <w:szCs w:val="32"/>
          <w:shd w:val="clear" w:color="auto" w:fill="FFFFFF"/>
          <w:lang w:val="en-US" w:eastAsia="zh-CN" w:bidi="ar-SA"/>
        </w:rPr>
        <w:t>4</w:t>
      </w:r>
      <w:r>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t>条，其中组织召开专题会议6次、部门会议6次，公开人大建议、政协提案答复办理情况4条</w:t>
      </w:r>
      <w:r>
        <w:rPr>
          <w:rFonts w:hint="eastAsia" w:ascii="Times New Roman" w:hAnsi="Times New Roman" w:eastAsia="仿宋" w:cs="Times New Roman"/>
          <w:i w:val="0"/>
          <w:caps w:val="0"/>
          <w:snapToGrid/>
          <w:color w:val="000000"/>
          <w:spacing w:val="0"/>
          <w:kern w:val="2"/>
          <w:sz w:val="32"/>
          <w:szCs w:val="32"/>
          <w:shd w:val="clear" w:color="auto" w:fill="FFFFFF"/>
          <w:lang w:val="en-US" w:eastAsia="zh-CN" w:bidi="ar-SA"/>
        </w:rPr>
        <w:t>。</w:t>
      </w:r>
      <w:r>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t>收到政府信息公开申请0件，无政府信息公开办理情况，无政府信息公开收费及减免情况，无因政府信息公开申请行政复议、提起行政诉讼的情况</w:t>
      </w:r>
      <w:r>
        <w:rPr>
          <w:rFonts w:hint="eastAsia" w:ascii="Times New Roman" w:hAnsi="Times New Roman" w:eastAsia="仿宋" w:cs="Times New Roman"/>
          <w:i w:val="0"/>
          <w:caps w:val="0"/>
          <w:snapToGrid/>
          <w:color w:val="000000"/>
          <w:spacing w:val="0"/>
          <w:kern w:val="2"/>
          <w:sz w:val="32"/>
          <w:szCs w:val="32"/>
          <w:shd w:val="clear" w:color="auto" w:fill="FFFFFF"/>
          <w:lang w:val="en-US" w:eastAsia="zh-CN" w:bidi="ar-SA"/>
        </w:rPr>
        <w:t>。</w:t>
      </w:r>
      <w:r>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t>积极扩宽政府公开信息发布渠道，一是在县政府门户网站“政府信息公开”专栏公开相关信息；二是通过办公室电话、邮箱、微信公众号等平台回应公众关注的热点问题、群众的来访、来电，及时发布信息。</w:t>
      </w:r>
    </w:p>
    <w:p>
      <w:pPr>
        <w:spacing w:before="100" w:line="351" w:lineRule="auto"/>
        <w:ind w:left="5" w:firstLine="616"/>
        <w:jc w:val="both"/>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pPr>
      <w:r>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drawing>
          <wp:inline distT="0" distB="0" distL="114300" distR="114300">
            <wp:extent cx="4543425" cy="2628900"/>
            <wp:effectExtent l="0" t="0" r="9525" b="0"/>
            <wp:docPr id="1" name="图片 1" descr="b315d5014710a69b9f9a82db1c406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15d5014710a69b9f9a82db1c406d7"/>
                    <pic:cNvPicPr>
                      <a:picLocks noChangeAspect="1"/>
                    </pic:cNvPicPr>
                  </pic:nvPicPr>
                  <pic:blipFill>
                    <a:blip r:embed="rId8"/>
                    <a:stretch>
                      <a:fillRect/>
                    </a:stretch>
                  </pic:blipFill>
                  <pic:spPr>
                    <a:xfrm>
                      <a:off x="0" y="0"/>
                      <a:ext cx="4543425" cy="2628900"/>
                    </a:xfrm>
                    <a:prstGeom prst="rect">
                      <a:avLst/>
                    </a:prstGeom>
                  </pic:spPr>
                </pic:pic>
              </a:graphicData>
            </a:graphic>
          </wp:inline>
        </w:drawing>
      </w:r>
      <w:bookmarkStart w:id="0" w:name="_GoBack"/>
      <w:bookmarkEnd w:id="0"/>
    </w:p>
    <w:p>
      <w:pPr>
        <w:spacing w:before="100" w:line="351" w:lineRule="auto"/>
        <w:ind w:left="5" w:firstLine="616"/>
        <w:jc w:val="both"/>
        <w:rPr>
          <w:rFonts w:hint="eastAsia" w:ascii="仿宋" w:hAnsi="仿宋" w:eastAsia="仿宋" w:cs="仿宋"/>
          <w:i w:val="0"/>
          <w:caps w:val="0"/>
          <w:snapToGrid/>
          <w:color w:val="000000"/>
          <w:spacing w:val="0"/>
          <w:kern w:val="2"/>
          <w:sz w:val="32"/>
          <w:szCs w:val="32"/>
          <w:shd w:val="clear" w:color="auto" w:fill="FFFFFF"/>
          <w:lang w:val="en-US" w:eastAsia="zh-CN" w:bidi="ar-SA"/>
        </w:rPr>
      </w:pPr>
      <w:r>
        <w:rPr>
          <w:rFonts w:hint="eastAsia" w:ascii="仿宋" w:hAnsi="仿宋" w:eastAsia="仿宋" w:cs="仿宋"/>
          <w:i w:val="0"/>
          <w:caps w:val="0"/>
          <w:snapToGrid/>
          <w:color w:val="000000"/>
          <w:spacing w:val="0"/>
          <w:kern w:val="2"/>
          <w:sz w:val="32"/>
          <w:szCs w:val="32"/>
          <w:shd w:val="clear" w:color="auto" w:fill="FFFFFF"/>
          <w:lang w:val="en-US" w:eastAsia="zh-CN" w:bidi="ar-SA"/>
        </w:rPr>
        <w:t>(二)依申请公开情况</w:t>
      </w:r>
    </w:p>
    <w:p>
      <w:pPr>
        <w:spacing w:before="100" w:line="351" w:lineRule="auto"/>
        <w:ind w:left="5" w:firstLine="616"/>
        <w:jc w:val="both"/>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pPr>
      <w:r>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t>2022年，微山县微山岛旅游度假区管理服务中心认真履行政府信息公开申请受理义务，截至目前，全年累计受理依申请公开政府信息0件，按时办结0件，且没有发生政府信息公开的收费情况。</w:t>
      </w:r>
    </w:p>
    <w:p>
      <w:pPr>
        <w:spacing w:before="100" w:line="351" w:lineRule="auto"/>
        <w:ind w:left="5" w:firstLine="616"/>
        <w:jc w:val="both"/>
        <w:rPr>
          <w:rFonts w:hint="eastAsia" w:ascii="仿宋" w:hAnsi="仿宋" w:eastAsia="仿宋" w:cs="仿宋"/>
          <w:i w:val="0"/>
          <w:caps w:val="0"/>
          <w:snapToGrid/>
          <w:color w:val="000000"/>
          <w:spacing w:val="0"/>
          <w:kern w:val="2"/>
          <w:sz w:val="32"/>
          <w:szCs w:val="32"/>
          <w:shd w:val="clear" w:color="auto" w:fill="FFFFFF"/>
          <w:lang w:val="en-US" w:eastAsia="zh-CN" w:bidi="ar-SA"/>
        </w:rPr>
      </w:pPr>
      <w:r>
        <w:rPr>
          <w:rFonts w:hint="eastAsia" w:ascii="仿宋" w:hAnsi="仿宋" w:eastAsia="仿宋" w:cs="仿宋"/>
          <w:i w:val="0"/>
          <w:caps w:val="0"/>
          <w:snapToGrid/>
          <w:color w:val="000000"/>
          <w:spacing w:val="0"/>
          <w:kern w:val="2"/>
          <w:sz w:val="32"/>
          <w:szCs w:val="32"/>
          <w:shd w:val="clear" w:color="auto" w:fill="FFFFFF"/>
          <w:lang w:val="en-US" w:eastAsia="zh-CN" w:bidi="ar-SA"/>
        </w:rPr>
        <w:t>(三)政府信息管理情况</w:t>
      </w:r>
    </w:p>
    <w:p>
      <w:pPr>
        <w:spacing w:before="100" w:line="351" w:lineRule="auto"/>
        <w:ind w:left="5" w:firstLine="616"/>
        <w:jc w:val="both"/>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pPr>
      <w:r>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t>微山县微山岛旅游度假区管理服务中心始终坚持政务公开体系制度化、规范化建设，按照省、市、县要求，结合本单位工作职责全面梳理公开内容，编制了《2022年微山县微山岛旅游度假区管理服务中心主动公开基本目录》，使得政务公开工作内容更加规范，更容易接受监督和检查；并严格落实省、市、县对政务公开工作要求，建立健全政府信息发布审查机制，坚持网站建设和政务新媒体运用相结合，明确审查程序和责任人，明确网站管理职责，规范操作流程，确保信息公开及时、有效和安全。</w:t>
      </w:r>
    </w:p>
    <w:p>
      <w:pPr>
        <w:spacing w:before="100" w:line="351" w:lineRule="auto"/>
        <w:ind w:left="5" w:firstLine="616"/>
        <w:jc w:val="both"/>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pPr>
      <w:r>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t>(四)政府信息公开平台建设情况</w:t>
      </w:r>
    </w:p>
    <w:p>
      <w:pPr>
        <w:spacing w:before="100" w:line="351" w:lineRule="auto"/>
        <w:ind w:left="5" w:firstLine="616"/>
        <w:jc w:val="both"/>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pPr>
      <w:r>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t>我单位积极发挥各类政府信息公开平台建设和渠道作用，以县政府门户网站为载体，开展政务公开自查工作，对照标准，逐项检查，及时发现网站栏目设置、内容更新等方面不足，不断调整政府信息公开目录，方便社会公众获取信息。切实做好政务新媒体的平台建设、内容发布、推广传播等日常运维工作,及时更新发布信息，严格审核把关，积极推送景区相关政务信息，及时发布景区资讯和活动，不断提升景区旅游服务品质，扩大信息受众，提高便民效果。</w:t>
      </w:r>
    </w:p>
    <w:p>
      <w:pPr>
        <w:spacing w:before="100" w:line="351" w:lineRule="auto"/>
        <w:ind w:left="5" w:firstLine="616"/>
        <w:jc w:val="both"/>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pPr>
      <w:r>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t>(五)监督保障情况</w:t>
      </w:r>
    </w:p>
    <w:p>
      <w:pPr>
        <w:spacing w:before="100" w:line="351" w:lineRule="auto"/>
        <w:ind w:left="5" w:firstLine="616"/>
        <w:jc w:val="both"/>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pPr>
      <w:r>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t>明确政务公开工作领导小组成员，定期组织召开政务公开专题会议，研究部署推进政务公开工作。定期开展政务公开专题培训，加强工作人员的业务能力建设，积极参加政务信息公开会议和培训班，及时掌握政务公开的新要求，提升政务公开工作能力。规范政府信息发布流程，严格审核把关政府信息的发布内容。</w:t>
      </w:r>
    </w:p>
    <w:p>
      <w:pPr>
        <w:spacing w:before="100" w:line="351" w:lineRule="auto"/>
        <w:jc w:val="both"/>
        <w:rPr>
          <w:rFonts w:hint="default" w:ascii="Times New Roman" w:hAnsi="Times New Roman" w:eastAsia="仿宋" w:cs="Times New Roman"/>
          <w:i w:val="0"/>
          <w:caps w:val="0"/>
          <w:snapToGrid/>
          <w:color w:val="000000"/>
          <w:spacing w:val="0"/>
          <w:kern w:val="2"/>
          <w:sz w:val="32"/>
          <w:szCs w:val="32"/>
          <w:shd w:val="clear" w:color="auto" w:fill="FFFFFF"/>
          <w:lang w:val="en-US" w:eastAsia="zh-CN" w:bidi="ar-SA"/>
        </w:rPr>
        <w:sectPr>
          <w:footerReference r:id="rId5" w:type="default"/>
          <w:pgSz w:w="11906" w:h="16838"/>
          <w:pgMar w:top="1655" w:right="1259" w:bottom="1695" w:left="1281" w:header="0" w:footer="1559" w:gutter="0"/>
          <w:cols w:space="0" w:num="1"/>
          <w:rtlGutter w:val="0"/>
          <w:docGrid w:linePitch="0" w:charSpace="0"/>
        </w:sectPr>
      </w:pPr>
    </w:p>
    <w:p>
      <w:pPr>
        <w:spacing w:before="100" w:line="227" w:lineRule="auto"/>
        <w:ind w:left="688"/>
        <w:rPr>
          <w:rFonts w:ascii="黑体" w:hAnsi="黑体" w:eastAsia="黑体" w:cs="黑体"/>
          <w:sz w:val="31"/>
          <w:szCs w:val="31"/>
        </w:rPr>
      </w:pPr>
      <w:r>
        <w:rPr>
          <w:rFonts w:ascii="黑体" w:hAnsi="黑体" w:eastAsia="黑体" w:cs="黑体"/>
          <w:spacing w:val="4"/>
          <w:sz w:val="31"/>
          <w:szCs w:val="31"/>
        </w:rPr>
        <w:t>二</w:t>
      </w:r>
      <w:r>
        <w:rPr>
          <w:rFonts w:ascii="黑体" w:hAnsi="黑体" w:eastAsia="黑体" w:cs="黑体"/>
          <w:spacing w:val="3"/>
          <w:sz w:val="31"/>
          <w:szCs w:val="31"/>
        </w:rPr>
        <w:t>、</w:t>
      </w:r>
      <w:r>
        <w:rPr>
          <w:rFonts w:ascii="黑体" w:hAnsi="黑体" w:eastAsia="黑体" w:cs="黑体"/>
          <w:spacing w:val="2"/>
          <w:sz w:val="31"/>
          <w:szCs w:val="31"/>
        </w:rPr>
        <w:t>主动公开政府信息情况</w:t>
      </w:r>
    </w:p>
    <w:p>
      <w:pPr>
        <w:spacing w:line="111" w:lineRule="auto"/>
        <w:rPr>
          <w:rFonts w:ascii="Arial"/>
          <w:sz w:val="2"/>
        </w:rPr>
      </w:pPr>
    </w:p>
    <w:tbl>
      <w:tblPr>
        <w:tblStyle w:val="8"/>
        <w:tblW w:w="8777" w:type="dxa"/>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8"/>
        <w:gridCol w:w="2132"/>
        <w:gridCol w:w="2215"/>
        <w:gridCol w:w="1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777" w:type="dxa"/>
            <w:gridSpan w:val="4"/>
            <w:vAlign w:val="top"/>
          </w:tcPr>
          <w:p>
            <w:pPr>
              <w:spacing w:before="72" w:line="222" w:lineRule="auto"/>
              <w:ind w:left="3351"/>
              <w:rPr>
                <w:rFonts w:ascii="黑体" w:hAnsi="黑体" w:eastAsia="黑体" w:cs="黑体"/>
                <w:sz w:val="23"/>
                <w:szCs w:val="23"/>
              </w:rPr>
            </w:pPr>
            <w:r>
              <w:rPr>
                <w:rFonts w:ascii="黑体" w:hAnsi="黑体" w:eastAsia="黑体" w:cs="黑体"/>
                <w:spacing w:val="20"/>
                <w:sz w:val="23"/>
                <w:szCs w:val="23"/>
              </w:rPr>
              <w:t>第</w:t>
            </w:r>
            <w:r>
              <w:rPr>
                <w:rFonts w:ascii="黑体" w:hAnsi="黑体" w:eastAsia="黑体" w:cs="黑体"/>
                <w:spacing w:val="13"/>
                <w:sz w:val="23"/>
                <w:szCs w:val="23"/>
              </w:rPr>
              <w:t>二十条第(一)项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38" w:type="dxa"/>
            <w:vAlign w:val="top"/>
          </w:tcPr>
          <w:p>
            <w:pPr>
              <w:spacing w:before="66" w:line="223" w:lineRule="auto"/>
              <w:ind w:left="768"/>
              <w:rPr>
                <w:rFonts w:ascii="仿宋" w:hAnsi="仿宋" w:eastAsia="仿宋" w:cs="仿宋"/>
                <w:sz w:val="23"/>
                <w:szCs w:val="23"/>
              </w:rPr>
            </w:pPr>
            <w:r>
              <w:rPr>
                <w:rFonts w:ascii="仿宋" w:hAnsi="仿宋" w:eastAsia="仿宋" w:cs="仿宋"/>
                <w:spacing w:val="1"/>
                <w:sz w:val="23"/>
                <w:szCs w:val="23"/>
              </w:rPr>
              <w:t>信息</w:t>
            </w:r>
            <w:r>
              <w:rPr>
                <w:rFonts w:ascii="仿宋" w:hAnsi="仿宋" w:eastAsia="仿宋" w:cs="仿宋"/>
                <w:sz w:val="23"/>
                <w:szCs w:val="23"/>
              </w:rPr>
              <w:t>内容</w:t>
            </w:r>
          </w:p>
        </w:tc>
        <w:tc>
          <w:tcPr>
            <w:tcW w:w="2132" w:type="dxa"/>
            <w:vAlign w:val="top"/>
          </w:tcPr>
          <w:p>
            <w:pPr>
              <w:spacing w:before="66" w:line="223" w:lineRule="auto"/>
              <w:ind w:left="382"/>
              <w:rPr>
                <w:rFonts w:ascii="仿宋" w:hAnsi="仿宋" w:eastAsia="仿宋" w:cs="仿宋"/>
                <w:sz w:val="23"/>
                <w:szCs w:val="23"/>
              </w:rPr>
            </w:pPr>
            <w:r>
              <w:rPr>
                <w:rFonts w:ascii="仿宋" w:hAnsi="仿宋" w:eastAsia="仿宋" w:cs="仿宋"/>
                <w:spacing w:val="2"/>
                <w:sz w:val="23"/>
                <w:szCs w:val="23"/>
              </w:rPr>
              <w:t>本</w:t>
            </w:r>
            <w:r>
              <w:rPr>
                <w:rFonts w:ascii="仿宋" w:hAnsi="仿宋" w:eastAsia="仿宋" w:cs="仿宋"/>
                <w:spacing w:val="1"/>
                <w:sz w:val="23"/>
                <w:szCs w:val="23"/>
              </w:rPr>
              <w:t>年制发件数</w:t>
            </w:r>
          </w:p>
        </w:tc>
        <w:tc>
          <w:tcPr>
            <w:tcW w:w="2215" w:type="dxa"/>
            <w:vAlign w:val="top"/>
          </w:tcPr>
          <w:p>
            <w:pPr>
              <w:spacing w:before="66" w:line="223" w:lineRule="auto"/>
              <w:ind w:left="425"/>
              <w:rPr>
                <w:rFonts w:ascii="仿宋" w:hAnsi="仿宋" w:eastAsia="仿宋" w:cs="仿宋"/>
                <w:sz w:val="23"/>
                <w:szCs w:val="23"/>
              </w:rPr>
            </w:pPr>
            <w:r>
              <w:rPr>
                <w:rFonts w:ascii="仿宋" w:hAnsi="仿宋" w:eastAsia="仿宋" w:cs="仿宋"/>
                <w:spacing w:val="2"/>
                <w:sz w:val="23"/>
                <w:szCs w:val="23"/>
              </w:rPr>
              <w:t>本</w:t>
            </w:r>
            <w:r>
              <w:rPr>
                <w:rFonts w:ascii="仿宋" w:hAnsi="仿宋" w:eastAsia="仿宋" w:cs="仿宋"/>
                <w:spacing w:val="1"/>
                <w:sz w:val="23"/>
                <w:szCs w:val="23"/>
              </w:rPr>
              <w:t>年废止件数</w:t>
            </w:r>
          </w:p>
        </w:tc>
        <w:tc>
          <w:tcPr>
            <w:tcW w:w="1992" w:type="dxa"/>
            <w:vAlign w:val="top"/>
          </w:tcPr>
          <w:p>
            <w:pPr>
              <w:spacing w:before="66" w:line="223" w:lineRule="auto"/>
              <w:ind w:left="310"/>
              <w:rPr>
                <w:rFonts w:ascii="仿宋" w:hAnsi="仿宋" w:eastAsia="仿宋" w:cs="仿宋"/>
                <w:sz w:val="23"/>
                <w:szCs w:val="23"/>
              </w:rPr>
            </w:pPr>
            <w:r>
              <w:rPr>
                <w:rFonts w:ascii="仿宋" w:hAnsi="仿宋" w:eastAsia="仿宋" w:cs="仿宋"/>
                <w:spacing w:val="2"/>
                <w:sz w:val="23"/>
                <w:szCs w:val="23"/>
              </w:rPr>
              <w:t>现行</w:t>
            </w:r>
            <w:r>
              <w:rPr>
                <w:rFonts w:ascii="仿宋" w:hAnsi="仿宋" w:eastAsia="仿宋" w:cs="仿宋"/>
                <w:spacing w:val="1"/>
                <w:sz w:val="23"/>
                <w:szCs w:val="23"/>
              </w:rPr>
              <w:t>有效件数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438" w:type="dxa"/>
            <w:vAlign w:val="top"/>
          </w:tcPr>
          <w:p>
            <w:pPr>
              <w:spacing w:before="67" w:line="223" w:lineRule="auto"/>
              <w:ind w:left="71"/>
              <w:rPr>
                <w:rFonts w:ascii="仿宋" w:hAnsi="仿宋" w:eastAsia="仿宋" w:cs="仿宋"/>
                <w:sz w:val="23"/>
                <w:szCs w:val="23"/>
              </w:rPr>
            </w:pPr>
            <w:r>
              <w:rPr>
                <w:rFonts w:ascii="仿宋" w:hAnsi="仿宋" w:eastAsia="仿宋" w:cs="仿宋"/>
                <w:spacing w:val="-2"/>
                <w:sz w:val="23"/>
                <w:szCs w:val="23"/>
              </w:rPr>
              <w:t>规</w:t>
            </w:r>
            <w:r>
              <w:rPr>
                <w:rFonts w:ascii="仿宋" w:hAnsi="仿宋" w:eastAsia="仿宋" w:cs="仿宋"/>
                <w:spacing w:val="-1"/>
                <w:sz w:val="23"/>
                <w:szCs w:val="23"/>
              </w:rPr>
              <w:t>章</w:t>
            </w:r>
          </w:p>
        </w:tc>
        <w:tc>
          <w:tcPr>
            <w:tcW w:w="2132"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221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1992"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7" w:line="223" w:lineRule="auto"/>
              <w:ind w:left="73"/>
              <w:rPr>
                <w:rFonts w:ascii="仿宋" w:hAnsi="仿宋" w:eastAsia="仿宋" w:cs="仿宋"/>
                <w:sz w:val="23"/>
                <w:szCs w:val="23"/>
              </w:rPr>
            </w:pPr>
            <w:r>
              <w:rPr>
                <w:rFonts w:ascii="仿宋" w:hAnsi="仿宋" w:eastAsia="仿宋" w:cs="仿宋"/>
                <w:spacing w:val="2"/>
                <w:sz w:val="23"/>
                <w:szCs w:val="23"/>
              </w:rPr>
              <w:t>行政</w:t>
            </w:r>
            <w:r>
              <w:rPr>
                <w:rFonts w:ascii="仿宋" w:hAnsi="仿宋" w:eastAsia="仿宋" w:cs="仿宋"/>
                <w:spacing w:val="1"/>
                <w:sz w:val="23"/>
                <w:szCs w:val="23"/>
              </w:rPr>
              <w:t>规范性文件</w:t>
            </w:r>
          </w:p>
        </w:tc>
        <w:tc>
          <w:tcPr>
            <w:tcW w:w="2132"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221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1992"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777" w:type="dxa"/>
            <w:gridSpan w:val="4"/>
            <w:vAlign w:val="top"/>
          </w:tcPr>
          <w:p>
            <w:pPr>
              <w:spacing w:before="68" w:line="222" w:lineRule="auto"/>
              <w:ind w:left="3351"/>
              <w:rPr>
                <w:rFonts w:ascii="黑体" w:hAnsi="黑体" w:eastAsia="黑体" w:cs="黑体"/>
                <w:sz w:val="23"/>
                <w:szCs w:val="23"/>
              </w:rPr>
            </w:pPr>
            <w:r>
              <w:rPr>
                <w:rFonts w:ascii="黑体" w:hAnsi="黑体" w:eastAsia="黑体" w:cs="黑体"/>
                <w:spacing w:val="20"/>
                <w:sz w:val="23"/>
                <w:szCs w:val="23"/>
              </w:rPr>
              <w:t>第</w:t>
            </w:r>
            <w:r>
              <w:rPr>
                <w:rFonts w:ascii="黑体" w:hAnsi="黑体" w:eastAsia="黑体" w:cs="黑体"/>
                <w:spacing w:val="13"/>
                <w:sz w:val="23"/>
                <w:szCs w:val="23"/>
              </w:rPr>
              <w:t>二十条第(五)项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5" w:line="224" w:lineRule="auto"/>
              <w:ind w:left="768"/>
              <w:rPr>
                <w:rFonts w:ascii="仿宋" w:hAnsi="仿宋" w:eastAsia="仿宋" w:cs="仿宋"/>
                <w:sz w:val="23"/>
                <w:szCs w:val="23"/>
              </w:rPr>
            </w:pPr>
            <w:r>
              <w:rPr>
                <w:rFonts w:ascii="仿宋" w:hAnsi="仿宋" w:eastAsia="仿宋" w:cs="仿宋"/>
                <w:spacing w:val="1"/>
                <w:sz w:val="23"/>
                <w:szCs w:val="23"/>
              </w:rPr>
              <w:t>信息</w:t>
            </w:r>
            <w:r>
              <w:rPr>
                <w:rFonts w:ascii="仿宋" w:hAnsi="仿宋" w:eastAsia="仿宋" w:cs="仿宋"/>
                <w:sz w:val="23"/>
                <w:szCs w:val="23"/>
              </w:rPr>
              <w:t>内容</w:t>
            </w:r>
          </w:p>
        </w:tc>
        <w:tc>
          <w:tcPr>
            <w:tcW w:w="6339" w:type="dxa"/>
            <w:gridSpan w:val="3"/>
            <w:vAlign w:val="top"/>
          </w:tcPr>
          <w:p>
            <w:pPr>
              <w:spacing w:before="65" w:line="224" w:lineRule="auto"/>
              <w:ind w:left="2254"/>
              <w:rPr>
                <w:rFonts w:ascii="仿宋" w:hAnsi="仿宋" w:eastAsia="仿宋" w:cs="仿宋"/>
                <w:sz w:val="23"/>
                <w:szCs w:val="23"/>
              </w:rPr>
            </w:pPr>
            <w:r>
              <w:rPr>
                <w:rFonts w:ascii="仿宋" w:hAnsi="仿宋" w:eastAsia="仿宋" w:cs="仿宋"/>
                <w:spacing w:val="2"/>
                <w:sz w:val="23"/>
                <w:szCs w:val="23"/>
              </w:rPr>
              <w:t>本年处理</w:t>
            </w:r>
            <w:r>
              <w:rPr>
                <w:rFonts w:ascii="仿宋" w:hAnsi="仿宋" w:eastAsia="仿宋" w:cs="仿宋"/>
                <w:spacing w:val="1"/>
                <w:sz w:val="23"/>
                <w:szCs w:val="23"/>
              </w:rPr>
              <w:t>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38" w:type="dxa"/>
            <w:vAlign w:val="top"/>
          </w:tcPr>
          <w:p>
            <w:pPr>
              <w:spacing w:before="66" w:line="223" w:lineRule="auto"/>
              <w:ind w:left="73"/>
              <w:rPr>
                <w:rFonts w:ascii="仿宋" w:hAnsi="仿宋" w:eastAsia="仿宋" w:cs="仿宋"/>
                <w:sz w:val="23"/>
                <w:szCs w:val="23"/>
              </w:rPr>
            </w:pPr>
            <w:r>
              <w:rPr>
                <w:rFonts w:ascii="仿宋" w:hAnsi="仿宋" w:eastAsia="仿宋" w:cs="仿宋"/>
                <w:sz w:val="23"/>
                <w:szCs w:val="23"/>
              </w:rPr>
              <w:t>行政许可</w:t>
            </w:r>
          </w:p>
        </w:tc>
        <w:tc>
          <w:tcPr>
            <w:tcW w:w="6339" w:type="dxa"/>
            <w:gridSpan w:val="3"/>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777" w:type="dxa"/>
            <w:gridSpan w:val="4"/>
            <w:vAlign w:val="top"/>
          </w:tcPr>
          <w:p>
            <w:pPr>
              <w:spacing w:before="67" w:line="222" w:lineRule="auto"/>
              <w:ind w:left="3351"/>
              <w:rPr>
                <w:rFonts w:ascii="黑体" w:hAnsi="黑体" w:eastAsia="黑体" w:cs="黑体"/>
                <w:sz w:val="23"/>
                <w:szCs w:val="23"/>
              </w:rPr>
            </w:pPr>
            <w:r>
              <w:rPr>
                <w:rFonts w:ascii="黑体" w:hAnsi="黑体" w:eastAsia="黑体" w:cs="黑体"/>
                <w:spacing w:val="20"/>
                <w:sz w:val="23"/>
                <w:szCs w:val="23"/>
              </w:rPr>
              <w:t>第</w:t>
            </w:r>
            <w:r>
              <w:rPr>
                <w:rFonts w:ascii="黑体" w:hAnsi="黑体" w:eastAsia="黑体" w:cs="黑体"/>
                <w:spacing w:val="13"/>
                <w:sz w:val="23"/>
                <w:szCs w:val="23"/>
              </w:rPr>
              <w:t>二十条第(六)项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9" w:line="221" w:lineRule="auto"/>
              <w:ind w:left="768"/>
              <w:rPr>
                <w:rFonts w:ascii="仿宋" w:hAnsi="仿宋" w:eastAsia="仿宋" w:cs="仿宋"/>
                <w:sz w:val="23"/>
                <w:szCs w:val="23"/>
              </w:rPr>
            </w:pPr>
            <w:r>
              <w:rPr>
                <w:rFonts w:ascii="仿宋" w:hAnsi="仿宋" w:eastAsia="仿宋" w:cs="仿宋"/>
                <w:spacing w:val="1"/>
                <w:sz w:val="23"/>
                <w:szCs w:val="23"/>
              </w:rPr>
              <w:t>信息</w:t>
            </w:r>
            <w:r>
              <w:rPr>
                <w:rFonts w:ascii="仿宋" w:hAnsi="仿宋" w:eastAsia="仿宋" w:cs="仿宋"/>
                <w:sz w:val="23"/>
                <w:szCs w:val="23"/>
              </w:rPr>
              <w:t>内容</w:t>
            </w:r>
          </w:p>
        </w:tc>
        <w:tc>
          <w:tcPr>
            <w:tcW w:w="6339" w:type="dxa"/>
            <w:gridSpan w:val="3"/>
            <w:vAlign w:val="top"/>
          </w:tcPr>
          <w:p>
            <w:pPr>
              <w:spacing w:before="69" w:line="221" w:lineRule="auto"/>
              <w:ind w:left="2254"/>
              <w:rPr>
                <w:rFonts w:ascii="仿宋" w:hAnsi="仿宋" w:eastAsia="仿宋" w:cs="仿宋"/>
                <w:sz w:val="23"/>
                <w:szCs w:val="23"/>
              </w:rPr>
            </w:pPr>
            <w:r>
              <w:rPr>
                <w:rFonts w:ascii="仿宋" w:hAnsi="仿宋" w:eastAsia="仿宋" w:cs="仿宋"/>
                <w:spacing w:val="2"/>
                <w:sz w:val="23"/>
                <w:szCs w:val="23"/>
              </w:rPr>
              <w:t>本年处理</w:t>
            </w:r>
            <w:r>
              <w:rPr>
                <w:rFonts w:ascii="仿宋" w:hAnsi="仿宋" w:eastAsia="仿宋" w:cs="仿宋"/>
                <w:spacing w:val="1"/>
                <w:sz w:val="23"/>
                <w:szCs w:val="23"/>
              </w:rPr>
              <w:t>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9" w:line="221" w:lineRule="auto"/>
              <w:ind w:left="73"/>
              <w:rPr>
                <w:rFonts w:ascii="仿宋" w:hAnsi="仿宋" w:eastAsia="仿宋" w:cs="仿宋"/>
                <w:sz w:val="23"/>
                <w:szCs w:val="23"/>
              </w:rPr>
            </w:pPr>
            <w:r>
              <w:rPr>
                <w:rFonts w:ascii="仿宋" w:hAnsi="仿宋" w:eastAsia="仿宋" w:cs="仿宋"/>
                <w:sz w:val="23"/>
                <w:szCs w:val="23"/>
              </w:rPr>
              <w:t>行政处罚</w:t>
            </w:r>
          </w:p>
        </w:tc>
        <w:tc>
          <w:tcPr>
            <w:tcW w:w="6339" w:type="dxa"/>
            <w:gridSpan w:val="3"/>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7" w:line="223" w:lineRule="auto"/>
              <w:ind w:left="73"/>
              <w:rPr>
                <w:rFonts w:ascii="仿宋" w:hAnsi="仿宋" w:eastAsia="仿宋" w:cs="仿宋"/>
                <w:sz w:val="23"/>
                <w:szCs w:val="23"/>
              </w:rPr>
            </w:pPr>
            <w:r>
              <w:rPr>
                <w:rFonts w:ascii="仿宋" w:hAnsi="仿宋" w:eastAsia="仿宋" w:cs="仿宋"/>
                <w:sz w:val="23"/>
                <w:szCs w:val="23"/>
              </w:rPr>
              <w:t>行政强制</w:t>
            </w:r>
          </w:p>
        </w:tc>
        <w:tc>
          <w:tcPr>
            <w:tcW w:w="6339" w:type="dxa"/>
            <w:gridSpan w:val="3"/>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777" w:type="dxa"/>
            <w:gridSpan w:val="4"/>
            <w:vAlign w:val="top"/>
          </w:tcPr>
          <w:p>
            <w:pPr>
              <w:spacing w:before="69" w:line="220" w:lineRule="auto"/>
              <w:ind w:left="3351"/>
              <w:rPr>
                <w:rFonts w:ascii="黑体" w:hAnsi="黑体" w:eastAsia="黑体" w:cs="黑体"/>
                <w:sz w:val="23"/>
                <w:szCs w:val="23"/>
              </w:rPr>
            </w:pPr>
            <w:r>
              <w:rPr>
                <w:rFonts w:ascii="黑体" w:hAnsi="黑体" w:eastAsia="黑体" w:cs="黑体"/>
                <w:spacing w:val="20"/>
                <w:sz w:val="23"/>
                <w:szCs w:val="23"/>
              </w:rPr>
              <w:t>第</w:t>
            </w:r>
            <w:r>
              <w:rPr>
                <w:rFonts w:ascii="黑体" w:hAnsi="黑体" w:eastAsia="黑体" w:cs="黑体"/>
                <w:spacing w:val="13"/>
                <w:sz w:val="23"/>
                <w:szCs w:val="23"/>
              </w:rPr>
              <w:t>二十条第(八)项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9" w:line="221" w:lineRule="auto"/>
              <w:ind w:left="768"/>
              <w:rPr>
                <w:rFonts w:ascii="仿宋" w:hAnsi="仿宋" w:eastAsia="仿宋" w:cs="仿宋"/>
                <w:sz w:val="23"/>
                <w:szCs w:val="23"/>
              </w:rPr>
            </w:pPr>
            <w:r>
              <w:rPr>
                <w:rFonts w:ascii="仿宋" w:hAnsi="仿宋" w:eastAsia="仿宋" w:cs="仿宋"/>
                <w:spacing w:val="1"/>
                <w:sz w:val="23"/>
                <w:szCs w:val="23"/>
              </w:rPr>
              <w:t>信息</w:t>
            </w:r>
            <w:r>
              <w:rPr>
                <w:rFonts w:ascii="仿宋" w:hAnsi="仿宋" w:eastAsia="仿宋" w:cs="仿宋"/>
                <w:sz w:val="23"/>
                <w:szCs w:val="23"/>
              </w:rPr>
              <w:t>内容</w:t>
            </w:r>
          </w:p>
        </w:tc>
        <w:tc>
          <w:tcPr>
            <w:tcW w:w="6339" w:type="dxa"/>
            <w:gridSpan w:val="3"/>
            <w:vAlign w:val="top"/>
          </w:tcPr>
          <w:p>
            <w:pPr>
              <w:spacing w:before="69" w:line="221" w:lineRule="auto"/>
              <w:ind w:left="1674"/>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10"/>
                <w:sz w:val="23"/>
                <w:szCs w:val="23"/>
              </w:rPr>
              <w:t>年收费金额(单位：万元)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438" w:type="dxa"/>
            <w:vAlign w:val="top"/>
          </w:tcPr>
          <w:p>
            <w:pPr>
              <w:spacing w:before="69" w:line="224" w:lineRule="auto"/>
              <w:ind w:left="73"/>
              <w:rPr>
                <w:rFonts w:ascii="仿宋" w:hAnsi="仿宋" w:eastAsia="仿宋" w:cs="仿宋"/>
                <w:sz w:val="23"/>
                <w:szCs w:val="23"/>
              </w:rPr>
            </w:pPr>
            <w:r>
              <w:rPr>
                <w:rFonts w:ascii="仿宋" w:hAnsi="仿宋" w:eastAsia="仿宋" w:cs="仿宋"/>
                <w:spacing w:val="2"/>
                <w:sz w:val="23"/>
                <w:szCs w:val="23"/>
              </w:rPr>
              <w:t>行政</w:t>
            </w:r>
            <w:r>
              <w:rPr>
                <w:rFonts w:ascii="仿宋" w:hAnsi="仿宋" w:eastAsia="仿宋" w:cs="仿宋"/>
                <w:spacing w:val="1"/>
                <w:sz w:val="23"/>
                <w:szCs w:val="23"/>
              </w:rPr>
              <w:t>事业性收费</w:t>
            </w:r>
          </w:p>
        </w:tc>
        <w:tc>
          <w:tcPr>
            <w:tcW w:w="6339" w:type="dxa"/>
            <w:gridSpan w:val="3"/>
            <w:vAlign w:val="top"/>
          </w:tcPr>
          <w:p>
            <w:pPr>
              <w:jc w:val="center"/>
              <w:rPr>
                <w:rFonts w:hint="eastAsia" w:ascii="Arial" w:eastAsia="宋体"/>
                <w:sz w:val="21"/>
                <w:lang w:val="en-US" w:eastAsia="zh-CN"/>
              </w:rPr>
            </w:pPr>
            <w:r>
              <w:rPr>
                <w:rFonts w:hint="eastAsia" w:eastAsia="宋体"/>
                <w:sz w:val="21"/>
                <w:lang w:val="en-US" w:eastAsia="zh-CN"/>
              </w:rPr>
              <w:t>0</w:t>
            </w:r>
          </w:p>
        </w:tc>
      </w:tr>
    </w:tbl>
    <w:p>
      <w:pPr>
        <w:spacing w:before="268" w:line="227" w:lineRule="auto"/>
        <w:ind w:left="689"/>
        <w:rPr>
          <w:rFonts w:ascii="黑体" w:hAnsi="黑体" w:eastAsia="黑体" w:cs="黑体"/>
          <w:sz w:val="31"/>
          <w:szCs w:val="31"/>
        </w:rPr>
      </w:pPr>
      <w:r>
        <w:rPr>
          <w:rFonts w:ascii="黑体" w:hAnsi="黑体" w:eastAsia="黑体" w:cs="黑体"/>
          <w:spacing w:val="4"/>
          <w:sz w:val="31"/>
          <w:szCs w:val="31"/>
        </w:rPr>
        <w:t>三、收到</w:t>
      </w:r>
      <w:r>
        <w:rPr>
          <w:rFonts w:ascii="黑体" w:hAnsi="黑体" w:eastAsia="黑体" w:cs="黑体"/>
          <w:spacing w:val="2"/>
          <w:sz w:val="31"/>
          <w:szCs w:val="31"/>
        </w:rPr>
        <w:t>和处理政府信息公开申请情况</w:t>
      </w:r>
    </w:p>
    <w:p>
      <w:pPr>
        <w:spacing w:line="76" w:lineRule="exact"/>
      </w:pPr>
    </w:p>
    <w:tbl>
      <w:tblPr>
        <w:tblStyle w:val="8"/>
        <w:tblW w:w="88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941"/>
        <w:gridCol w:w="2876"/>
        <w:gridCol w:w="790"/>
        <w:gridCol w:w="599"/>
        <w:gridCol w:w="590"/>
        <w:gridCol w:w="598"/>
        <w:gridCol w:w="571"/>
        <w:gridCol w:w="559"/>
        <w:gridCol w:w="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589" w:type="dxa"/>
            <w:gridSpan w:val="3"/>
            <w:vMerge w:val="restart"/>
            <w:tcBorders>
              <w:bottom w:val="nil"/>
            </w:tcBorders>
            <w:vAlign w:val="top"/>
          </w:tcPr>
          <w:p>
            <w:pPr>
              <w:spacing w:line="456" w:lineRule="auto"/>
              <w:rPr>
                <w:rFonts w:ascii="Arial"/>
                <w:sz w:val="21"/>
              </w:rPr>
            </w:pPr>
          </w:p>
          <w:p>
            <w:pPr>
              <w:spacing w:before="65" w:line="290" w:lineRule="auto"/>
              <w:ind w:left="1087" w:right="59" w:hanging="947"/>
              <w:rPr>
                <w:rFonts w:ascii="黑体" w:hAnsi="黑体" w:eastAsia="黑体" w:cs="黑体"/>
                <w:sz w:val="20"/>
                <w:szCs w:val="20"/>
              </w:rPr>
            </w:pPr>
            <w:r>
              <w:rPr>
                <w:rFonts w:ascii="黑体" w:hAnsi="黑体" w:eastAsia="黑体" w:cs="黑体"/>
                <w:spacing w:val="4"/>
                <w:sz w:val="20"/>
                <w:szCs w:val="20"/>
              </w:rPr>
              <w:t>(本列数据的勾稽关系为：第一项加第二项之和</w:t>
            </w:r>
            <w:r>
              <w:rPr>
                <w:rFonts w:ascii="黑体" w:hAnsi="黑体" w:eastAsia="黑体" w:cs="黑体"/>
                <w:sz w:val="20"/>
                <w:szCs w:val="20"/>
              </w:rPr>
              <w:t>，</w:t>
            </w:r>
            <w:r>
              <w:rPr>
                <w:rFonts w:ascii="黑体" w:hAnsi="黑体" w:eastAsia="黑体" w:cs="黑体"/>
                <w:spacing w:val="4"/>
                <w:sz w:val="20"/>
                <w:szCs w:val="20"/>
              </w:rPr>
              <w:t>等于</w:t>
            </w:r>
            <w:r>
              <w:rPr>
                <w:rFonts w:ascii="黑体" w:hAnsi="黑体" w:eastAsia="黑体" w:cs="黑体"/>
                <w:spacing w:val="3"/>
                <w:sz w:val="20"/>
                <w:szCs w:val="20"/>
              </w:rPr>
              <w:t>第</w:t>
            </w:r>
            <w:r>
              <w:rPr>
                <w:rFonts w:ascii="黑体" w:hAnsi="黑体" w:eastAsia="黑体" w:cs="黑体"/>
                <w:spacing w:val="2"/>
                <w:sz w:val="20"/>
                <w:szCs w:val="20"/>
              </w:rPr>
              <w:t>三项加第四项之和)</w:t>
            </w:r>
          </w:p>
        </w:tc>
        <w:tc>
          <w:tcPr>
            <w:tcW w:w="4232" w:type="dxa"/>
            <w:gridSpan w:val="7"/>
            <w:vAlign w:val="top"/>
          </w:tcPr>
          <w:p>
            <w:pPr>
              <w:spacing w:before="64" w:line="226" w:lineRule="auto"/>
              <w:ind w:left="1631"/>
              <w:rPr>
                <w:rFonts w:ascii="黑体" w:hAnsi="黑体" w:eastAsia="黑体" w:cs="黑体"/>
                <w:sz w:val="20"/>
                <w:szCs w:val="20"/>
              </w:rPr>
            </w:pPr>
            <w:r>
              <w:rPr>
                <w:rFonts w:ascii="黑体" w:hAnsi="黑体" w:eastAsia="黑体" w:cs="黑体"/>
                <w:spacing w:val="-1"/>
                <w:sz w:val="20"/>
                <w:szCs w:val="20"/>
              </w:rPr>
              <w:t>申请人情况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589" w:type="dxa"/>
            <w:gridSpan w:val="3"/>
            <w:vMerge w:val="continue"/>
            <w:tcBorders>
              <w:top w:val="nil"/>
              <w:bottom w:val="nil"/>
            </w:tcBorders>
            <w:vAlign w:val="top"/>
          </w:tcPr>
          <w:p>
            <w:pPr>
              <w:rPr>
                <w:rFonts w:ascii="Arial"/>
                <w:sz w:val="21"/>
              </w:rPr>
            </w:pPr>
          </w:p>
        </w:tc>
        <w:tc>
          <w:tcPr>
            <w:tcW w:w="790" w:type="dxa"/>
            <w:vMerge w:val="restart"/>
            <w:tcBorders>
              <w:bottom w:val="nil"/>
            </w:tcBorders>
            <w:vAlign w:val="top"/>
          </w:tcPr>
          <w:p>
            <w:pPr>
              <w:spacing w:line="447" w:lineRule="auto"/>
              <w:rPr>
                <w:rFonts w:ascii="Arial"/>
                <w:sz w:val="21"/>
              </w:rPr>
            </w:pPr>
          </w:p>
          <w:p>
            <w:pPr>
              <w:spacing w:before="65" w:line="230" w:lineRule="auto"/>
              <w:ind w:left="124"/>
              <w:rPr>
                <w:rFonts w:ascii="黑体" w:hAnsi="黑体" w:eastAsia="黑体" w:cs="黑体"/>
                <w:sz w:val="20"/>
                <w:szCs w:val="20"/>
              </w:rPr>
            </w:pPr>
            <w:r>
              <w:rPr>
                <w:rFonts w:ascii="黑体" w:hAnsi="黑体" w:eastAsia="黑体" w:cs="黑体"/>
                <w:spacing w:val="-8"/>
                <w:sz w:val="20"/>
                <w:szCs w:val="20"/>
              </w:rPr>
              <w:t>自</w:t>
            </w:r>
            <w:r>
              <w:rPr>
                <w:rFonts w:ascii="黑体" w:hAnsi="黑体" w:eastAsia="黑体" w:cs="黑体"/>
                <w:spacing w:val="-6"/>
                <w:sz w:val="20"/>
                <w:szCs w:val="20"/>
              </w:rPr>
              <w:t>然人</w:t>
            </w:r>
          </w:p>
        </w:tc>
        <w:tc>
          <w:tcPr>
            <w:tcW w:w="2917" w:type="dxa"/>
            <w:gridSpan w:val="5"/>
            <w:vAlign w:val="top"/>
          </w:tcPr>
          <w:p>
            <w:pPr>
              <w:spacing w:before="60" w:line="226" w:lineRule="auto"/>
              <w:ind w:left="759"/>
              <w:rPr>
                <w:rFonts w:ascii="黑体" w:hAnsi="黑体" w:eastAsia="黑体" w:cs="黑体"/>
                <w:sz w:val="20"/>
                <w:szCs w:val="20"/>
              </w:rPr>
            </w:pPr>
            <w:r>
              <w:rPr>
                <w:rFonts w:ascii="黑体" w:hAnsi="黑体" w:eastAsia="黑体" w:cs="黑体"/>
                <w:spacing w:val="4"/>
                <w:sz w:val="20"/>
                <w:szCs w:val="20"/>
              </w:rPr>
              <w:t>法</w:t>
            </w:r>
            <w:r>
              <w:rPr>
                <w:rFonts w:ascii="黑体" w:hAnsi="黑体" w:eastAsia="黑体" w:cs="黑体"/>
                <w:spacing w:val="2"/>
                <w:sz w:val="20"/>
                <w:szCs w:val="20"/>
              </w:rPr>
              <w:t>人或其他组织</w:t>
            </w:r>
          </w:p>
        </w:tc>
        <w:tc>
          <w:tcPr>
            <w:tcW w:w="525" w:type="dxa"/>
            <w:vMerge w:val="restart"/>
            <w:tcBorders>
              <w:bottom w:val="nil"/>
            </w:tcBorders>
            <w:vAlign w:val="top"/>
          </w:tcPr>
          <w:p>
            <w:pPr>
              <w:spacing w:line="447" w:lineRule="auto"/>
              <w:rPr>
                <w:rFonts w:ascii="Arial"/>
                <w:sz w:val="21"/>
              </w:rPr>
            </w:pPr>
          </w:p>
          <w:p>
            <w:pPr>
              <w:spacing w:before="65" w:line="234" w:lineRule="auto"/>
              <w:ind w:left="69"/>
              <w:rPr>
                <w:rFonts w:ascii="黑体" w:hAnsi="黑体" w:eastAsia="黑体" w:cs="黑体"/>
                <w:sz w:val="20"/>
                <w:szCs w:val="20"/>
              </w:rPr>
            </w:pPr>
            <w:r>
              <w:rPr>
                <w:rFonts w:ascii="黑体" w:hAnsi="黑体" w:eastAsia="黑体" w:cs="黑体"/>
                <w:spacing w:val="-1"/>
                <w:sz w:val="20"/>
                <w:szCs w:val="20"/>
              </w:rPr>
              <w:t>总计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4589" w:type="dxa"/>
            <w:gridSpan w:val="3"/>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599" w:type="dxa"/>
            <w:vAlign w:val="top"/>
          </w:tcPr>
          <w:p>
            <w:pPr>
              <w:spacing w:before="209" w:line="295" w:lineRule="auto"/>
              <w:ind w:left="103" w:right="86" w:firstLine="8"/>
              <w:rPr>
                <w:rFonts w:ascii="黑体" w:hAnsi="黑体" w:eastAsia="黑体" w:cs="黑体"/>
                <w:sz w:val="20"/>
                <w:szCs w:val="20"/>
              </w:rPr>
            </w:pPr>
            <w:r>
              <w:rPr>
                <w:rFonts w:ascii="黑体" w:hAnsi="黑体" w:eastAsia="黑体" w:cs="黑体"/>
                <w:spacing w:val="-3"/>
                <w:sz w:val="20"/>
                <w:szCs w:val="20"/>
              </w:rPr>
              <w:t>商</w:t>
            </w:r>
            <w:r>
              <w:rPr>
                <w:rFonts w:ascii="黑体" w:hAnsi="黑体" w:eastAsia="黑体" w:cs="黑体"/>
                <w:spacing w:val="-2"/>
                <w:sz w:val="20"/>
                <w:szCs w:val="20"/>
              </w:rPr>
              <w:t>业</w:t>
            </w:r>
            <w:r>
              <w:rPr>
                <w:rFonts w:ascii="黑体" w:hAnsi="黑体" w:eastAsia="黑体" w:cs="黑体"/>
                <w:spacing w:val="2"/>
                <w:sz w:val="20"/>
                <w:szCs w:val="20"/>
              </w:rPr>
              <w:t>企业</w:t>
            </w:r>
          </w:p>
        </w:tc>
        <w:tc>
          <w:tcPr>
            <w:tcW w:w="590" w:type="dxa"/>
            <w:vAlign w:val="top"/>
          </w:tcPr>
          <w:p>
            <w:pPr>
              <w:spacing w:before="211" w:line="291" w:lineRule="auto"/>
              <w:ind w:left="99" w:right="81" w:firstLine="2"/>
              <w:rPr>
                <w:rFonts w:ascii="黑体" w:hAnsi="黑体" w:eastAsia="黑体" w:cs="黑体"/>
                <w:sz w:val="20"/>
                <w:szCs w:val="20"/>
              </w:rPr>
            </w:pPr>
            <w:r>
              <w:rPr>
                <w:rFonts w:ascii="黑体" w:hAnsi="黑体" w:eastAsia="黑体" w:cs="黑体"/>
                <w:spacing w:val="1"/>
                <w:sz w:val="20"/>
                <w:szCs w:val="20"/>
              </w:rPr>
              <w:t>科</w:t>
            </w:r>
            <w:r>
              <w:rPr>
                <w:rFonts w:ascii="黑体" w:hAnsi="黑体" w:eastAsia="黑体" w:cs="黑体"/>
                <w:sz w:val="20"/>
                <w:szCs w:val="20"/>
              </w:rPr>
              <w:t>研</w:t>
            </w:r>
            <w:r>
              <w:rPr>
                <w:rFonts w:ascii="黑体" w:hAnsi="黑体" w:eastAsia="黑体" w:cs="黑体"/>
                <w:spacing w:val="2"/>
                <w:sz w:val="20"/>
                <w:szCs w:val="20"/>
              </w:rPr>
              <w:t>机构</w:t>
            </w:r>
          </w:p>
        </w:tc>
        <w:tc>
          <w:tcPr>
            <w:tcW w:w="598" w:type="dxa"/>
            <w:vAlign w:val="top"/>
          </w:tcPr>
          <w:p>
            <w:pPr>
              <w:spacing w:before="59" w:line="260" w:lineRule="auto"/>
              <w:ind w:left="103" w:right="86"/>
              <w:rPr>
                <w:rFonts w:ascii="黑体" w:hAnsi="黑体" w:eastAsia="黑体" w:cs="黑体"/>
                <w:sz w:val="20"/>
                <w:szCs w:val="20"/>
              </w:rPr>
            </w:pPr>
            <w:r>
              <w:rPr>
                <w:rFonts w:ascii="黑体" w:hAnsi="黑体" w:eastAsia="黑体" w:cs="黑体"/>
                <w:spacing w:val="2"/>
                <w:sz w:val="20"/>
                <w:szCs w:val="20"/>
              </w:rPr>
              <w:t>社</w:t>
            </w:r>
            <w:r>
              <w:rPr>
                <w:rFonts w:ascii="黑体" w:hAnsi="黑体" w:eastAsia="黑体" w:cs="黑体"/>
                <w:spacing w:val="1"/>
                <w:sz w:val="20"/>
                <w:szCs w:val="20"/>
              </w:rPr>
              <w:t>会</w:t>
            </w:r>
            <w:r>
              <w:rPr>
                <w:rFonts w:ascii="黑体" w:hAnsi="黑体" w:eastAsia="黑体" w:cs="黑体"/>
                <w:spacing w:val="2"/>
                <w:sz w:val="20"/>
                <w:szCs w:val="20"/>
              </w:rPr>
              <w:t>公</w:t>
            </w:r>
            <w:r>
              <w:rPr>
                <w:rFonts w:ascii="黑体" w:hAnsi="黑体" w:eastAsia="黑体" w:cs="黑体"/>
                <w:spacing w:val="1"/>
                <w:sz w:val="20"/>
                <w:szCs w:val="20"/>
              </w:rPr>
              <w:t>益</w:t>
            </w:r>
            <w:r>
              <w:rPr>
                <w:rFonts w:ascii="黑体" w:hAnsi="黑体" w:eastAsia="黑体" w:cs="黑体"/>
                <w:spacing w:val="2"/>
                <w:sz w:val="20"/>
                <w:szCs w:val="20"/>
              </w:rPr>
              <w:t>组</w:t>
            </w:r>
            <w:r>
              <w:rPr>
                <w:rFonts w:ascii="黑体" w:hAnsi="黑体" w:eastAsia="黑体" w:cs="黑体"/>
                <w:spacing w:val="1"/>
                <w:sz w:val="20"/>
                <w:szCs w:val="20"/>
              </w:rPr>
              <w:t>织</w:t>
            </w:r>
          </w:p>
        </w:tc>
        <w:tc>
          <w:tcPr>
            <w:tcW w:w="571" w:type="dxa"/>
            <w:vAlign w:val="top"/>
          </w:tcPr>
          <w:p>
            <w:pPr>
              <w:spacing w:before="59" w:line="260" w:lineRule="auto"/>
              <w:ind w:left="89" w:right="72" w:firstLine="3"/>
              <w:rPr>
                <w:rFonts w:ascii="黑体" w:hAnsi="黑体" w:eastAsia="黑体" w:cs="黑体"/>
                <w:sz w:val="20"/>
                <w:szCs w:val="20"/>
              </w:rPr>
            </w:pPr>
            <w:r>
              <w:rPr>
                <w:rFonts w:ascii="黑体" w:hAnsi="黑体" w:eastAsia="黑体" w:cs="黑体"/>
                <w:sz w:val="20"/>
                <w:szCs w:val="20"/>
              </w:rPr>
              <w:t>法律</w:t>
            </w:r>
            <w:r>
              <w:rPr>
                <w:rFonts w:ascii="黑体" w:hAnsi="黑体" w:eastAsia="黑体" w:cs="黑体"/>
                <w:spacing w:val="2"/>
                <w:sz w:val="20"/>
                <w:szCs w:val="20"/>
              </w:rPr>
              <w:t>服务机构</w:t>
            </w:r>
          </w:p>
        </w:tc>
        <w:tc>
          <w:tcPr>
            <w:tcW w:w="559" w:type="dxa"/>
            <w:vAlign w:val="top"/>
          </w:tcPr>
          <w:p>
            <w:pPr>
              <w:spacing w:line="292" w:lineRule="auto"/>
              <w:rPr>
                <w:rFonts w:ascii="Arial"/>
                <w:sz w:val="21"/>
              </w:rPr>
            </w:pPr>
          </w:p>
          <w:p>
            <w:pPr>
              <w:spacing w:before="65" w:line="231" w:lineRule="auto"/>
              <w:ind w:left="86"/>
              <w:rPr>
                <w:rFonts w:ascii="黑体" w:hAnsi="黑体" w:eastAsia="黑体" w:cs="黑体"/>
                <w:sz w:val="20"/>
                <w:szCs w:val="20"/>
              </w:rPr>
            </w:pPr>
            <w:r>
              <w:rPr>
                <w:rFonts w:ascii="黑体" w:hAnsi="黑体" w:eastAsia="黑体" w:cs="黑体"/>
                <w:sz w:val="20"/>
                <w:szCs w:val="20"/>
              </w:rPr>
              <w:t>其他</w:t>
            </w:r>
          </w:p>
        </w:tc>
        <w:tc>
          <w:tcPr>
            <w:tcW w:w="52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4589" w:type="dxa"/>
            <w:gridSpan w:val="3"/>
            <w:vAlign w:val="top"/>
          </w:tcPr>
          <w:p>
            <w:pPr>
              <w:spacing w:before="124" w:line="229" w:lineRule="auto"/>
              <w:ind w:left="73"/>
              <w:rPr>
                <w:rFonts w:ascii="仿宋" w:hAnsi="仿宋" w:eastAsia="仿宋" w:cs="仿宋"/>
                <w:sz w:val="20"/>
                <w:szCs w:val="20"/>
              </w:rPr>
            </w:pPr>
            <w:r>
              <w:rPr>
                <w:rFonts w:ascii="仿宋" w:hAnsi="仿宋" w:eastAsia="仿宋" w:cs="仿宋"/>
                <w:spacing w:val="2"/>
                <w:sz w:val="20"/>
                <w:szCs w:val="20"/>
              </w:rPr>
              <w:t>一、本年新收政府信息公开申请数量</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589" w:type="dxa"/>
            <w:gridSpan w:val="3"/>
            <w:vAlign w:val="top"/>
          </w:tcPr>
          <w:p>
            <w:pPr>
              <w:spacing w:before="111" w:line="227" w:lineRule="auto"/>
              <w:ind w:left="77"/>
              <w:rPr>
                <w:rFonts w:ascii="仿宋" w:hAnsi="仿宋" w:eastAsia="仿宋" w:cs="仿宋"/>
                <w:sz w:val="20"/>
                <w:szCs w:val="20"/>
              </w:rPr>
            </w:pPr>
            <w:r>
              <w:rPr>
                <w:rFonts w:ascii="仿宋" w:hAnsi="仿宋" w:eastAsia="仿宋" w:cs="仿宋"/>
                <w:spacing w:val="2"/>
                <w:sz w:val="20"/>
                <w:szCs w:val="20"/>
              </w:rPr>
              <w:t>二、上年结转政府信息公开</w:t>
            </w:r>
            <w:r>
              <w:rPr>
                <w:rFonts w:ascii="仿宋" w:hAnsi="仿宋" w:eastAsia="仿宋" w:cs="仿宋"/>
                <w:spacing w:val="1"/>
                <w:sz w:val="20"/>
                <w:szCs w:val="20"/>
              </w:rPr>
              <w:t>申请数量</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285" w:lineRule="auto"/>
              <w:ind w:left="72" w:right="95" w:firstLine="4"/>
              <w:rPr>
                <w:rFonts w:ascii="仿宋" w:hAnsi="仿宋" w:eastAsia="仿宋" w:cs="仿宋"/>
                <w:sz w:val="20"/>
                <w:szCs w:val="20"/>
              </w:rPr>
            </w:pPr>
            <w:r>
              <w:rPr>
                <w:rFonts w:ascii="仿宋" w:hAnsi="仿宋" w:eastAsia="仿宋" w:cs="仿宋"/>
                <w:spacing w:val="-2"/>
                <w:sz w:val="20"/>
                <w:szCs w:val="20"/>
              </w:rPr>
              <w:t>三、</w:t>
            </w:r>
            <w:r>
              <w:rPr>
                <w:rFonts w:ascii="仿宋" w:hAnsi="仿宋" w:eastAsia="仿宋" w:cs="仿宋"/>
                <w:spacing w:val="-1"/>
                <w:sz w:val="20"/>
                <w:szCs w:val="20"/>
              </w:rPr>
              <w:t>本年</w:t>
            </w:r>
            <w:r>
              <w:rPr>
                <w:rFonts w:ascii="仿宋" w:hAnsi="仿宋" w:eastAsia="仿宋" w:cs="仿宋"/>
                <w:sz w:val="20"/>
                <w:szCs w:val="20"/>
              </w:rPr>
              <w:t>度办</w:t>
            </w:r>
            <w:r>
              <w:rPr>
                <w:rFonts w:ascii="仿宋" w:hAnsi="仿宋" w:eastAsia="仿宋" w:cs="仿宋"/>
                <w:spacing w:val="-1"/>
                <w:sz w:val="20"/>
                <w:szCs w:val="20"/>
              </w:rPr>
              <w:t>理</w:t>
            </w:r>
            <w:r>
              <w:rPr>
                <w:rFonts w:ascii="仿宋" w:hAnsi="仿宋" w:eastAsia="仿宋" w:cs="仿宋"/>
                <w:sz w:val="20"/>
                <w:szCs w:val="20"/>
              </w:rPr>
              <w:t>结果</w:t>
            </w:r>
          </w:p>
        </w:tc>
        <w:tc>
          <w:tcPr>
            <w:tcW w:w="3817" w:type="dxa"/>
            <w:gridSpan w:val="2"/>
            <w:vAlign w:val="top"/>
          </w:tcPr>
          <w:p>
            <w:pPr>
              <w:spacing w:before="64" w:line="222" w:lineRule="auto"/>
              <w:ind w:left="70"/>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3"/>
                <w:sz w:val="20"/>
                <w:szCs w:val="20"/>
              </w:rPr>
              <w:t>一)予以公开</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72" w:type="dxa"/>
            <w:vMerge w:val="continue"/>
            <w:tcBorders>
              <w:top w:val="nil"/>
              <w:bottom w:val="nil"/>
            </w:tcBorders>
            <w:vAlign w:val="top"/>
          </w:tcPr>
          <w:p>
            <w:pPr>
              <w:rPr>
                <w:rFonts w:ascii="Arial"/>
                <w:sz w:val="21"/>
              </w:rPr>
            </w:pPr>
          </w:p>
        </w:tc>
        <w:tc>
          <w:tcPr>
            <w:tcW w:w="3817" w:type="dxa"/>
            <w:gridSpan w:val="2"/>
            <w:vAlign w:val="top"/>
          </w:tcPr>
          <w:p>
            <w:pPr>
              <w:spacing w:before="118" w:line="274" w:lineRule="auto"/>
              <w:ind w:left="70" w:right="105"/>
              <w:rPr>
                <w:rFonts w:ascii="仿宋" w:hAnsi="仿宋" w:eastAsia="仿宋" w:cs="仿宋"/>
                <w:sz w:val="20"/>
                <w:szCs w:val="20"/>
              </w:rPr>
            </w:pPr>
            <w:r>
              <w:rPr>
                <w:rFonts w:ascii="仿宋" w:hAnsi="仿宋" w:eastAsia="仿宋" w:cs="仿宋"/>
                <w:spacing w:val="12"/>
                <w:sz w:val="20"/>
                <w:szCs w:val="20"/>
              </w:rPr>
              <w:t>(二</w:t>
            </w:r>
            <w:r>
              <w:rPr>
                <w:rFonts w:ascii="仿宋" w:hAnsi="仿宋" w:eastAsia="仿宋" w:cs="仿宋"/>
                <w:spacing w:val="9"/>
                <w:sz w:val="20"/>
                <w:szCs w:val="20"/>
              </w:rPr>
              <w:t>)</w:t>
            </w:r>
            <w:r>
              <w:rPr>
                <w:rFonts w:ascii="仿宋" w:hAnsi="仿宋" w:eastAsia="仿宋" w:cs="仿宋"/>
                <w:spacing w:val="6"/>
                <w:sz w:val="20"/>
                <w:szCs w:val="20"/>
              </w:rPr>
              <w:t>部分公开(区分处理的，只计这一</w:t>
            </w:r>
            <w:r>
              <w:rPr>
                <w:rFonts w:ascii="仿宋" w:hAnsi="仿宋" w:eastAsia="仿宋" w:cs="仿宋"/>
                <w:spacing w:val="2"/>
                <w:sz w:val="20"/>
                <w:szCs w:val="20"/>
              </w:rPr>
              <w:t>情</w:t>
            </w:r>
            <w:r>
              <w:rPr>
                <w:rFonts w:ascii="仿宋" w:hAnsi="仿宋" w:eastAsia="仿宋" w:cs="仿宋"/>
                <w:spacing w:val="1"/>
                <w:sz w:val="20"/>
                <w:szCs w:val="20"/>
              </w:rPr>
              <w:t>形，不计其他情形)</w:t>
            </w:r>
          </w:p>
        </w:tc>
        <w:tc>
          <w:tcPr>
            <w:tcW w:w="790"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5" w:line="290" w:lineRule="auto"/>
              <w:ind w:left="73" w:right="66" w:hanging="3"/>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9"/>
                <w:sz w:val="20"/>
                <w:szCs w:val="20"/>
              </w:rPr>
              <w:t>三)不</w:t>
            </w:r>
            <w:r>
              <w:rPr>
                <w:rFonts w:ascii="仿宋" w:hAnsi="仿宋" w:eastAsia="仿宋" w:cs="仿宋"/>
                <w:spacing w:val="-3"/>
                <w:sz w:val="20"/>
                <w:szCs w:val="20"/>
              </w:rPr>
              <w:t>予</w:t>
            </w:r>
            <w:r>
              <w:rPr>
                <w:rFonts w:ascii="仿宋" w:hAnsi="仿宋" w:eastAsia="仿宋" w:cs="仿宋"/>
                <w:spacing w:val="-2"/>
                <w:sz w:val="20"/>
                <w:szCs w:val="20"/>
              </w:rPr>
              <w:t>公开</w:t>
            </w:r>
          </w:p>
        </w:tc>
        <w:tc>
          <w:tcPr>
            <w:tcW w:w="2876" w:type="dxa"/>
            <w:vAlign w:val="top"/>
          </w:tcPr>
          <w:p>
            <w:pPr>
              <w:spacing w:before="63" w:line="232" w:lineRule="auto"/>
              <w:ind w:left="77"/>
              <w:rPr>
                <w:rFonts w:ascii="仿宋" w:hAnsi="仿宋" w:eastAsia="仿宋" w:cs="仿宋"/>
                <w:sz w:val="20"/>
                <w:szCs w:val="20"/>
              </w:rPr>
            </w:pPr>
            <w:r>
              <w:rPr>
                <w:rFonts w:ascii="仿宋" w:hAnsi="仿宋" w:eastAsia="仿宋" w:cs="仿宋"/>
                <w:spacing w:val="-2"/>
                <w:sz w:val="20"/>
                <w:szCs w:val="20"/>
              </w:rPr>
              <w:t>1.属</w:t>
            </w:r>
            <w:r>
              <w:rPr>
                <w:rFonts w:ascii="仿宋" w:hAnsi="仿宋" w:eastAsia="仿宋" w:cs="仿宋"/>
                <w:spacing w:val="-1"/>
                <w:sz w:val="20"/>
                <w:szCs w:val="20"/>
              </w:rPr>
              <w:t>于国家秘密</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ascii="Arial"/>
                <w:sz w:val="21"/>
              </w:rPr>
            </w:pPr>
            <w:r>
              <w:rPr>
                <w:rFonts w:hint="eastAsia" w:eastAsia="宋体"/>
                <w:sz w:val="21"/>
                <w:lang w:val="en-US" w:eastAsia="zh-CN"/>
              </w:rPr>
              <w:t>0</w:t>
            </w:r>
          </w:p>
        </w:tc>
        <w:tc>
          <w:tcPr>
            <w:tcW w:w="590" w:type="dxa"/>
            <w:vAlign w:val="top"/>
          </w:tcPr>
          <w:p>
            <w:pPr>
              <w:jc w:val="center"/>
              <w:rPr>
                <w:rFonts w:ascii="Arial"/>
                <w:sz w:val="21"/>
              </w:rPr>
            </w:pPr>
            <w:r>
              <w:rPr>
                <w:rFonts w:hint="eastAsia" w:eastAsia="宋体"/>
                <w:sz w:val="21"/>
                <w:lang w:val="en-US" w:eastAsia="zh-CN"/>
              </w:rPr>
              <w:t>0</w:t>
            </w:r>
          </w:p>
        </w:tc>
        <w:tc>
          <w:tcPr>
            <w:tcW w:w="598" w:type="dxa"/>
            <w:vAlign w:val="top"/>
          </w:tcPr>
          <w:p>
            <w:pPr>
              <w:jc w:val="center"/>
              <w:rPr>
                <w:rFonts w:ascii="Arial"/>
                <w:sz w:val="21"/>
              </w:rPr>
            </w:pPr>
            <w:r>
              <w:rPr>
                <w:rFonts w:hint="eastAsia" w:eastAsia="宋体"/>
                <w:sz w:val="21"/>
                <w:lang w:val="en-US" w:eastAsia="zh-CN"/>
              </w:rPr>
              <w:t>0</w:t>
            </w:r>
          </w:p>
        </w:tc>
        <w:tc>
          <w:tcPr>
            <w:tcW w:w="571" w:type="dxa"/>
            <w:vAlign w:val="top"/>
          </w:tcPr>
          <w:p>
            <w:pPr>
              <w:jc w:val="center"/>
              <w:rPr>
                <w:rFonts w:ascii="Arial"/>
                <w:sz w:val="21"/>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5" w:line="229" w:lineRule="auto"/>
              <w:ind w:left="64"/>
              <w:rPr>
                <w:rFonts w:ascii="仿宋" w:hAnsi="仿宋" w:eastAsia="仿宋" w:cs="仿宋"/>
                <w:sz w:val="20"/>
                <w:szCs w:val="20"/>
              </w:rPr>
            </w:pPr>
            <w:r>
              <w:rPr>
                <w:rFonts w:ascii="仿宋" w:hAnsi="仿宋" w:eastAsia="仿宋" w:cs="仿宋"/>
                <w:spacing w:val="-1"/>
                <w:sz w:val="20"/>
                <w:szCs w:val="20"/>
              </w:rPr>
              <w:t>2.其他法律行政法规禁止</w:t>
            </w:r>
            <w:r>
              <w:rPr>
                <w:rFonts w:ascii="仿宋" w:hAnsi="仿宋" w:eastAsia="仿宋" w:cs="仿宋"/>
                <w:sz w:val="20"/>
                <w:szCs w:val="20"/>
              </w:rPr>
              <w:t>公开</w:t>
            </w:r>
          </w:p>
        </w:tc>
        <w:tc>
          <w:tcPr>
            <w:tcW w:w="790" w:type="dxa"/>
            <w:vAlign w:val="top"/>
          </w:tcPr>
          <w:p>
            <w:pPr>
              <w:jc w:val="center"/>
              <w:rPr>
                <w:rFonts w:ascii="Arial"/>
                <w:sz w:val="21"/>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ascii="Arial"/>
                <w:sz w:val="21"/>
              </w:rPr>
            </w:pPr>
            <w:r>
              <w:rPr>
                <w:rFonts w:hint="eastAsia" w:eastAsia="宋体"/>
                <w:sz w:val="21"/>
                <w:lang w:val="en-US" w:eastAsia="zh-CN"/>
              </w:rPr>
              <w:t>0</w:t>
            </w:r>
          </w:p>
        </w:tc>
        <w:tc>
          <w:tcPr>
            <w:tcW w:w="525" w:type="dxa"/>
            <w:vAlign w:val="top"/>
          </w:tcPr>
          <w:p>
            <w:pPr>
              <w:jc w:val="center"/>
              <w:rPr>
                <w:rFonts w:ascii="Arial"/>
                <w:sz w:val="21"/>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5" w:line="233" w:lineRule="auto"/>
              <w:ind w:left="66"/>
              <w:rPr>
                <w:rFonts w:ascii="仿宋" w:hAnsi="仿宋" w:eastAsia="仿宋" w:cs="仿宋"/>
                <w:sz w:val="20"/>
                <w:szCs w:val="20"/>
              </w:rPr>
            </w:pPr>
            <w:r>
              <w:rPr>
                <w:rFonts w:ascii="仿宋" w:hAnsi="仿宋" w:eastAsia="仿宋" w:cs="仿宋"/>
                <w:spacing w:val="7"/>
                <w:sz w:val="20"/>
                <w:szCs w:val="20"/>
              </w:rPr>
              <w:t>3.危及“三安全一稳定</w:t>
            </w:r>
            <w:r>
              <w:rPr>
                <w:rFonts w:ascii="仿宋" w:hAnsi="仿宋" w:eastAsia="仿宋" w:cs="仿宋"/>
                <w:spacing w:val="5"/>
                <w:sz w:val="20"/>
                <w:szCs w:val="20"/>
              </w:rPr>
              <w:t>”</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5" w:line="229" w:lineRule="auto"/>
              <w:ind w:left="61"/>
              <w:rPr>
                <w:rFonts w:ascii="仿宋" w:hAnsi="仿宋" w:eastAsia="仿宋" w:cs="仿宋"/>
                <w:sz w:val="20"/>
                <w:szCs w:val="20"/>
              </w:rPr>
            </w:pPr>
            <w:r>
              <w:rPr>
                <w:rFonts w:ascii="仿宋" w:hAnsi="仿宋" w:eastAsia="仿宋" w:cs="仿宋"/>
                <w:spacing w:val="-1"/>
                <w:sz w:val="20"/>
                <w:szCs w:val="20"/>
              </w:rPr>
              <w:t>4.保护第三方合法</w:t>
            </w:r>
            <w:r>
              <w:rPr>
                <w:rFonts w:ascii="仿宋" w:hAnsi="仿宋" w:eastAsia="仿宋" w:cs="仿宋"/>
                <w:sz w:val="20"/>
                <w:szCs w:val="20"/>
              </w:rPr>
              <w:t>权益</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6" w:line="230" w:lineRule="auto"/>
              <w:ind w:left="66"/>
              <w:rPr>
                <w:rFonts w:ascii="仿宋" w:hAnsi="仿宋" w:eastAsia="仿宋" w:cs="仿宋"/>
                <w:sz w:val="20"/>
                <w:szCs w:val="20"/>
              </w:rPr>
            </w:pPr>
            <w:r>
              <w:rPr>
                <w:rFonts w:ascii="仿宋" w:hAnsi="仿宋" w:eastAsia="仿宋" w:cs="仿宋"/>
                <w:spacing w:val="-2"/>
                <w:sz w:val="20"/>
                <w:szCs w:val="20"/>
              </w:rPr>
              <w:t>5.属于三类内部事务</w:t>
            </w:r>
            <w:r>
              <w:rPr>
                <w:rFonts w:ascii="仿宋" w:hAnsi="仿宋" w:eastAsia="仿宋" w:cs="仿宋"/>
                <w:spacing w:val="-1"/>
                <w:sz w:val="20"/>
                <w:szCs w:val="20"/>
              </w:rPr>
              <w:t>信息</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6" w:line="229" w:lineRule="auto"/>
              <w:ind w:left="63"/>
              <w:rPr>
                <w:rFonts w:ascii="仿宋" w:hAnsi="仿宋" w:eastAsia="仿宋" w:cs="仿宋"/>
                <w:sz w:val="20"/>
                <w:szCs w:val="20"/>
              </w:rPr>
            </w:pPr>
            <w:r>
              <w:rPr>
                <w:rFonts w:ascii="仿宋" w:hAnsi="仿宋" w:eastAsia="仿宋" w:cs="仿宋"/>
                <w:spacing w:val="-4"/>
                <w:sz w:val="20"/>
                <w:szCs w:val="20"/>
              </w:rPr>
              <w:t>6</w:t>
            </w:r>
            <w:r>
              <w:rPr>
                <w:rFonts w:ascii="仿宋" w:hAnsi="仿宋" w:eastAsia="仿宋" w:cs="仿宋"/>
                <w:spacing w:val="-2"/>
                <w:sz w:val="20"/>
                <w:szCs w:val="20"/>
              </w:rPr>
              <w:t>.属于四类过程性信息</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4" w:line="229" w:lineRule="auto"/>
              <w:ind w:left="67"/>
              <w:rPr>
                <w:rFonts w:ascii="仿宋" w:hAnsi="仿宋" w:eastAsia="仿宋" w:cs="仿宋"/>
                <w:sz w:val="20"/>
                <w:szCs w:val="20"/>
              </w:rPr>
            </w:pPr>
            <w:r>
              <w:rPr>
                <w:rFonts w:ascii="仿宋" w:hAnsi="仿宋" w:eastAsia="仿宋" w:cs="仿宋"/>
                <w:spacing w:val="-4"/>
                <w:sz w:val="20"/>
                <w:szCs w:val="20"/>
              </w:rPr>
              <w:t>7.</w:t>
            </w:r>
            <w:r>
              <w:rPr>
                <w:rFonts w:ascii="仿宋" w:hAnsi="仿宋" w:eastAsia="仿宋" w:cs="仿宋"/>
                <w:spacing w:val="-2"/>
                <w:sz w:val="20"/>
                <w:szCs w:val="20"/>
              </w:rPr>
              <w:t>属于行政执法案卷</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tcBorders>
            <w:vAlign w:val="top"/>
          </w:tcPr>
          <w:p>
            <w:pPr>
              <w:rPr>
                <w:rFonts w:ascii="Arial"/>
                <w:sz w:val="21"/>
              </w:rPr>
            </w:pPr>
          </w:p>
        </w:tc>
        <w:tc>
          <w:tcPr>
            <w:tcW w:w="2876" w:type="dxa"/>
            <w:vAlign w:val="top"/>
          </w:tcPr>
          <w:p>
            <w:pPr>
              <w:spacing w:before="65" w:line="229" w:lineRule="auto"/>
              <w:ind w:left="62"/>
              <w:rPr>
                <w:rFonts w:ascii="仿宋" w:hAnsi="仿宋" w:eastAsia="仿宋" w:cs="仿宋"/>
                <w:sz w:val="20"/>
                <w:szCs w:val="20"/>
              </w:rPr>
            </w:pPr>
            <w:r>
              <w:rPr>
                <w:rFonts w:ascii="仿宋" w:hAnsi="仿宋" w:eastAsia="仿宋" w:cs="仿宋"/>
                <w:spacing w:val="-2"/>
                <w:sz w:val="20"/>
                <w:szCs w:val="20"/>
              </w:rPr>
              <w:t>8.属于行政查</w:t>
            </w:r>
            <w:r>
              <w:rPr>
                <w:rFonts w:ascii="仿宋" w:hAnsi="仿宋" w:eastAsia="仿宋" w:cs="仿宋"/>
                <w:spacing w:val="-1"/>
                <w:sz w:val="20"/>
                <w:szCs w:val="20"/>
              </w:rPr>
              <w:t>询事项</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restart"/>
            <w:tcBorders>
              <w:bottom w:val="nil"/>
            </w:tcBorders>
            <w:vAlign w:val="top"/>
          </w:tcPr>
          <w:p>
            <w:pPr>
              <w:spacing w:before="286" w:line="290" w:lineRule="auto"/>
              <w:ind w:left="72" w:right="66" w:hanging="2"/>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9"/>
                <w:sz w:val="20"/>
                <w:szCs w:val="20"/>
              </w:rPr>
              <w:t>四)无</w:t>
            </w:r>
            <w:r>
              <w:rPr>
                <w:rFonts w:ascii="仿宋" w:hAnsi="仿宋" w:eastAsia="仿宋" w:cs="仿宋"/>
                <w:spacing w:val="-2"/>
                <w:sz w:val="20"/>
                <w:szCs w:val="20"/>
              </w:rPr>
              <w:t>法提供</w:t>
            </w:r>
          </w:p>
        </w:tc>
        <w:tc>
          <w:tcPr>
            <w:tcW w:w="2876" w:type="dxa"/>
            <w:vAlign w:val="top"/>
          </w:tcPr>
          <w:p>
            <w:pPr>
              <w:spacing w:before="65" w:line="230" w:lineRule="auto"/>
              <w:ind w:left="77"/>
              <w:rPr>
                <w:rFonts w:ascii="仿宋" w:hAnsi="仿宋" w:eastAsia="仿宋" w:cs="仿宋"/>
                <w:sz w:val="20"/>
                <w:szCs w:val="20"/>
              </w:rPr>
            </w:pPr>
            <w:r>
              <w:rPr>
                <w:rFonts w:ascii="仿宋" w:hAnsi="仿宋" w:eastAsia="仿宋" w:cs="仿宋"/>
                <w:spacing w:val="1"/>
                <w:sz w:val="20"/>
                <w:szCs w:val="20"/>
              </w:rPr>
              <w:t>1.本机关不</w:t>
            </w:r>
            <w:r>
              <w:rPr>
                <w:rFonts w:ascii="仿宋" w:hAnsi="仿宋" w:eastAsia="仿宋" w:cs="仿宋"/>
                <w:sz w:val="20"/>
                <w:szCs w:val="20"/>
              </w:rPr>
              <w:t>掌握相关政府信息</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5" w:line="229" w:lineRule="auto"/>
              <w:ind w:left="64"/>
              <w:rPr>
                <w:rFonts w:ascii="仿宋" w:hAnsi="仿宋" w:eastAsia="仿宋" w:cs="仿宋"/>
                <w:sz w:val="20"/>
                <w:szCs w:val="20"/>
              </w:rPr>
            </w:pPr>
            <w:r>
              <w:rPr>
                <w:rFonts w:ascii="仿宋" w:hAnsi="仿宋" w:eastAsia="仿宋" w:cs="仿宋"/>
                <w:spacing w:val="-1"/>
                <w:sz w:val="20"/>
                <w:szCs w:val="20"/>
              </w:rPr>
              <w:t>2.没有现成信息需要另行</w:t>
            </w:r>
            <w:r>
              <w:rPr>
                <w:rFonts w:ascii="仿宋" w:hAnsi="仿宋" w:eastAsia="仿宋" w:cs="仿宋"/>
                <w:sz w:val="20"/>
                <w:szCs w:val="20"/>
              </w:rPr>
              <w:t>制作</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72" w:type="dxa"/>
            <w:vMerge w:val="continue"/>
            <w:tcBorders>
              <w:top w:val="nil"/>
            </w:tcBorders>
            <w:vAlign w:val="top"/>
          </w:tcPr>
          <w:p>
            <w:pPr>
              <w:rPr>
                <w:rFonts w:ascii="Arial"/>
                <w:sz w:val="21"/>
              </w:rPr>
            </w:pPr>
          </w:p>
        </w:tc>
        <w:tc>
          <w:tcPr>
            <w:tcW w:w="941" w:type="dxa"/>
            <w:vMerge w:val="continue"/>
            <w:tcBorders>
              <w:top w:val="nil"/>
            </w:tcBorders>
            <w:vAlign w:val="top"/>
          </w:tcPr>
          <w:p>
            <w:pPr>
              <w:rPr>
                <w:rFonts w:ascii="Arial"/>
                <w:sz w:val="21"/>
              </w:rPr>
            </w:pPr>
          </w:p>
        </w:tc>
        <w:tc>
          <w:tcPr>
            <w:tcW w:w="2876" w:type="dxa"/>
            <w:vAlign w:val="top"/>
          </w:tcPr>
          <w:p>
            <w:pPr>
              <w:spacing w:before="65" w:line="229" w:lineRule="auto"/>
              <w:ind w:left="66"/>
              <w:rPr>
                <w:rFonts w:ascii="仿宋" w:hAnsi="仿宋" w:eastAsia="仿宋" w:cs="仿宋"/>
                <w:sz w:val="20"/>
                <w:szCs w:val="20"/>
              </w:rPr>
            </w:pPr>
            <w:r>
              <w:rPr>
                <w:rFonts w:ascii="仿宋" w:hAnsi="仿宋" w:eastAsia="仿宋" w:cs="仿宋"/>
                <w:spacing w:val="-2"/>
                <w:sz w:val="20"/>
                <w:szCs w:val="20"/>
              </w:rPr>
              <w:t>3.</w:t>
            </w:r>
            <w:r>
              <w:rPr>
                <w:rFonts w:ascii="仿宋" w:hAnsi="仿宋" w:eastAsia="仿宋" w:cs="仿宋"/>
                <w:spacing w:val="-1"/>
                <w:sz w:val="20"/>
                <w:szCs w:val="20"/>
              </w:rPr>
              <w:t>补正后申请内容仍不明确</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72" w:type="dxa"/>
            <w:vMerge w:val="restart"/>
            <w:tcBorders>
              <w:bottom w:val="nil"/>
            </w:tcBorders>
            <w:vAlign w:val="top"/>
          </w:tcPr>
          <w:p>
            <w:pPr>
              <w:rPr>
                <w:rFonts w:ascii="Arial"/>
                <w:sz w:val="21"/>
              </w:rPr>
            </w:pPr>
          </w:p>
        </w:tc>
        <w:tc>
          <w:tcPr>
            <w:tcW w:w="941" w:type="dxa"/>
            <w:vMerge w:val="restart"/>
            <w:tcBorders>
              <w:bottom w:val="nil"/>
            </w:tcBorders>
            <w:vAlign w:val="top"/>
          </w:tcPr>
          <w:p>
            <w:pPr>
              <w:spacing w:line="352" w:lineRule="auto"/>
              <w:rPr>
                <w:rFonts w:ascii="Arial"/>
                <w:sz w:val="21"/>
              </w:rPr>
            </w:pPr>
          </w:p>
          <w:p>
            <w:pPr>
              <w:spacing w:line="352" w:lineRule="auto"/>
              <w:rPr>
                <w:rFonts w:ascii="Arial"/>
                <w:sz w:val="21"/>
              </w:rPr>
            </w:pPr>
          </w:p>
          <w:p>
            <w:pPr>
              <w:spacing w:before="65" w:line="291" w:lineRule="auto"/>
              <w:ind w:left="73" w:right="66" w:hanging="3"/>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9"/>
                <w:sz w:val="20"/>
                <w:szCs w:val="20"/>
              </w:rPr>
              <w:t>五)不</w:t>
            </w:r>
            <w:r>
              <w:rPr>
                <w:rFonts w:ascii="仿宋" w:hAnsi="仿宋" w:eastAsia="仿宋" w:cs="仿宋"/>
                <w:spacing w:val="-3"/>
                <w:sz w:val="20"/>
                <w:szCs w:val="20"/>
              </w:rPr>
              <w:t>予</w:t>
            </w:r>
            <w:r>
              <w:rPr>
                <w:rFonts w:ascii="仿宋" w:hAnsi="仿宋" w:eastAsia="仿宋" w:cs="仿宋"/>
                <w:spacing w:val="-2"/>
                <w:sz w:val="20"/>
                <w:szCs w:val="20"/>
              </w:rPr>
              <w:t>处理</w:t>
            </w:r>
          </w:p>
        </w:tc>
        <w:tc>
          <w:tcPr>
            <w:tcW w:w="2876" w:type="dxa"/>
            <w:vAlign w:val="top"/>
          </w:tcPr>
          <w:p>
            <w:pPr>
              <w:spacing w:before="64" w:line="226" w:lineRule="auto"/>
              <w:ind w:left="77"/>
              <w:rPr>
                <w:rFonts w:ascii="仿宋" w:hAnsi="仿宋" w:eastAsia="仿宋" w:cs="仿宋"/>
                <w:sz w:val="20"/>
                <w:szCs w:val="20"/>
              </w:rPr>
            </w:pPr>
            <w:r>
              <w:rPr>
                <w:rFonts w:ascii="仿宋" w:hAnsi="仿宋" w:eastAsia="仿宋" w:cs="仿宋"/>
                <w:spacing w:val="-1"/>
                <w:sz w:val="20"/>
                <w:szCs w:val="20"/>
              </w:rPr>
              <w:t>1.信访</w:t>
            </w:r>
            <w:r>
              <w:rPr>
                <w:rFonts w:ascii="仿宋" w:hAnsi="仿宋" w:eastAsia="仿宋" w:cs="仿宋"/>
                <w:sz w:val="20"/>
                <w:szCs w:val="20"/>
              </w:rPr>
              <w:t>举报投诉类申请</w:t>
            </w:r>
          </w:p>
        </w:tc>
        <w:tc>
          <w:tcPr>
            <w:tcW w:w="790" w:type="dxa"/>
            <w:vAlign w:val="top"/>
          </w:tcPr>
          <w:p>
            <w:pPr>
              <w:jc w:val="center"/>
              <w:rPr>
                <w:rFonts w:hint="default"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2" w:line="223" w:lineRule="auto"/>
              <w:ind w:left="64"/>
              <w:rPr>
                <w:rFonts w:ascii="仿宋" w:hAnsi="仿宋" w:eastAsia="仿宋" w:cs="仿宋"/>
                <w:sz w:val="20"/>
                <w:szCs w:val="20"/>
              </w:rPr>
            </w:pPr>
            <w:r>
              <w:rPr>
                <w:rFonts w:ascii="仿宋" w:hAnsi="仿宋" w:eastAsia="仿宋" w:cs="仿宋"/>
                <w:spacing w:val="-6"/>
                <w:sz w:val="20"/>
                <w:szCs w:val="20"/>
              </w:rPr>
              <w:t>2.重复申</w:t>
            </w:r>
            <w:r>
              <w:rPr>
                <w:rFonts w:ascii="仿宋" w:hAnsi="仿宋" w:eastAsia="仿宋" w:cs="仿宋"/>
                <w:spacing w:val="-5"/>
                <w:sz w:val="20"/>
                <w:szCs w:val="20"/>
              </w:rPr>
              <w:t>请</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default"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default"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3" w:line="223" w:lineRule="auto"/>
              <w:ind w:left="66"/>
              <w:rPr>
                <w:rFonts w:ascii="仿宋" w:hAnsi="仿宋" w:eastAsia="仿宋" w:cs="仿宋"/>
                <w:sz w:val="20"/>
                <w:szCs w:val="20"/>
              </w:rPr>
            </w:pPr>
            <w:r>
              <w:rPr>
                <w:rFonts w:ascii="仿宋" w:hAnsi="仿宋" w:eastAsia="仿宋" w:cs="仿宋"/>
                <w:spacing w:val="-2"/>
                <w:sz w:val="20"/>
                <w:szCs w:val="20"/>
              </w:rPr>
              <w:t>3.要求提供公开出版</w:t>
            </w:r>
            <w:r>
              <w:rPr>
                <w:rFonts w:ascii="仿宋" w:hAnsi="仿宋" w:eastAsia="仿宋" w:cs="仿宋"/>
                <w:spacing w:val="-1"/>
                <w:sz w:val="20"/>
                <w:szCs w:val="20"/>
              </w:rPr>
              <w:t>物</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2" w:line="224" w:lineRule="auto"/>
              <w:ind w:left="61"/>
              <w:rPr>
                <w:rFonts w:ascii="仿宋" w:hAnsi="仿宋" w:eastAsia="仿宋" w:cs="仿宋"/>
                <w:sz w:val="20"/>
                <w:szCs w:val="20"/>
              </w:rPr>
            </w:pPr>
            <w:r>
              <w:rPr>
                <w:rFonts w:ascii="仿宋" w:hAnsi="仿宋" w:eastAsia="仿宋" w:cs="仿宋"/>
                <w:spacing w:val="-1"/>
                <w:sz w:val="20"/>
                <w:szCs w:val="20"/>
              </w:rPr>
              <w:t>4.无</w:t>
            </w:r>
            <w:r>
              <w:rPr>
                <w:rFonts w:ascii="仿宋" w:hAnsi="仿宋" w:eastAsia="仿宋" w:cs="仿宋"/>
                <w:sz w:val="20"/>
                <w:szCs w:val="20"/>
              </w:rPr>
              <w:t>正当理由大量反复申请</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tcBorders>
            <w:vAlign w:val="top"/>
          </w:tcPr>
          <w:p>
            <w:pPr>
              <w:rPr>
                <w:rFonts w:ascii="Arial"/>
                <w:sz w:val="21"/>
              </w:rPr>
            </w:pPr>
          </w:p>
        </w:tc>
        <w:tc>
          <w:tcPr>
            <w:tcW w:w="2876" w:type="dxa"/>
            <w:vAlign w:val="top"/>
          </w:tcPr>
          <w:p>
            <w:pPr>
              <w:spacing w:before="151" w:line="289" w:lineRule="auto"/>
              <w:ind w:left="70" w:right="41" w:hanging="4"/>
              <w:rPr>
                <w:rFonts w:ascii="仿宋" w:hAnsi="仿宋" w:eastAsia="仿宋" w:cs="仿宋"/>
                <w:sz w:val="20"/>
                <w:szCs w:val="20"/>
              </w:rPr>
            </w:pPr>
            <w:r>
              <w:rPr>
                <w:rFonts w:ascii="仿宋" w:hAnsi="仿宋" w:eastAsia="仿宋" w:cs="仿宋"/>
                <w:spacing w:val="20"/>
                <w:sz w:val="20"/>
                <w:szCs w:val="20"/>
              </w:rPr>
              <w:t>5</w:t>
            </w:r>
            <w:r>
              <w:rPr>
                <w:rFonts w:ascii="仿宋" w:hAnsi="仿宋" w:eastAsia="仿宋" w:cs="仿宋"/>
                <w:spacing w:val="11"/>
                <w:sz w:val="20"/>
                <w:szCs w:val="20"/>
              </w:rPr>
              <w:t>.要求行政机关确认或重新出</w:t>
            </w:r>
            <w:r>
              <w:rPr>
                <w:rFonts w:ascii="仿宋" w:hAnsi="仿宋" w:eastAsia="仿宋" w:cs="仿宋"/>
                <w:spacing w:val="1"/>
                <w:sz w:val="20"/>
                <w:szCs w:val="20"/>
              </w:rPr>
              <w:t>具已获取信息</w:t>
            </w:r>
          </w:p>
        </w:tc>
        <w:tc>
          <w:tcPr>
            <w:tcW w:w="790"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72" w:type="dxa"/>
            <w:vMerge w:val="continue"/>
            <w:tcBorders>
              <w:top w:val="nil"/>
              <w:bottom w:val="nil"/>
            </w:tcBorders>
            <w:vAlign w:val="top"/>
          </w:tcPr>
          <w:p>
            <w:pPr>
              <w:rPr>
                <w:rFonts w:ascii="Arial"/>
                <w:sz w:val="21"/>
              </w:rPr>
            </w:pPr>
          </w:p>
        </w:tc>
        <w:tc>
          <w:tcPr>
            <w:tcW w:w="941"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5" w:line="289" w:lineRule="auto"/>
              <w:ind w:left="67" w:right="66" w:firstLine="3"/>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9"/>
                <w:sz w:val="20"/>
                <w:szCs w:val="20"/>
              </w:rPr>
              <w:t>六)其</w:t>
            </w:r>
            <w:r>
              <w:rPr>
                <w:rFonts w:ascii="仿宋" w:hAnsi="仿宋" w:eastAsia="仿宋" w:cs="仿宋"/>
                <w:sz w:val="20"/>
                <w:szCs w:val="20"/>
              </w:rPr>
              <w:t>他处理</w:t>
            </w:r>
          </w:p>
        </w:tc>
        <w:tc>
          <w:tcPr>
            <w:tcW w:w="2876" w:type="dxa"/>
            <w:vAlign w:val="top"/>
          </w:tcPr>
          <w:p>
            <w:pPr>
              <w:spacing w:before="62" w:line="259" w:lineRule="auto"/>
              <w:ind w:left="71" w:right="37" w:firstLine="6"/>
              <w:rPr>
                <w:rFonts w:ascii="仿宋" w:hAnsi="仿宋" w:eastAsia="仿宋" w:cs="仿宋"/>
                <w:sz w:val="20"/>
                <w:szCs w:val="20"/>
              </w:rPr>
            </w:pPr>
            <w:r>
              <w:rPr>
                <w:rFonts w:ascii="仿宋" w:hAnsi="仿宋" w:eastAsia="仿宋" w:cs="仿宋"/>
                <w:spacing w:val="11"/>
                <w:sz w:val="20"/>
                <w:szCs w:val="20"/>
              </w:rPr>
              <w:t>1.申请人无正当理由逾期不补</w:t>
            </w:r>
            <w:r>
              <w:rPr>
                <w:rFonts w:ascii="仿宋" w:hAnsi="仿宋" w:eastAsia="仿宋" w:cs="仿宋"/>
                <w:spacing w:val="-4"/>
                <w:sz w:val="20"/>
                <w:szCs w:val="20"/>
              </w:rPr>
              <w:t>正、行政机</w:t>
            </w:r>
            <w:r>
              <w:rPr>
                <w:rFonts w:ascii="仿宋" w:hAnsi="仿宋" w:eastAsia="仿宋" w:cs="仿宋"/>
                <w:spacing w:val="-2"/>
                <w:sz w:val="20"/>
                <w:szCs w:val="20"/>
              </w:rPr>
              <w:t>关不再处理其政府信</w:t>
            </w:r>
            <w:r>
              <w:rPr>
                <w:rFonts w:ascii="仿宋" w:hAnsi="仿宋" w:eastAsia="仿宋" w:cs="仿宋"/>
                <w:spacing w:val="1"/>
                <w:sz w:val="20"/>
                <w:szCs w:val="20"/>
              </w:rPr>
              <w:t>息公开申</w:t>
            </w:r>
            <w:r>
              <w:rPr>
                <w:rFonts w:ascii="仿宋" w:hAnsi="仿宋" w:eastAsia="仿宋" w:cs="仿宋"/>
                <w:sz w:val="20"/>
                <w:szCs w:val="20"/>
              </w:rPr>
              <w:t>请</w:t>
            </w:r>
          </w:p>
        </w:tc>
        <w:tc>
          <w:tcPr>
            <w:tcW w:w="790"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eastAsia="宋体"/>
                <w:sz w:val="21"/>
                <w:lang w:val="en-US" w:eastAsia="zh-CN"/>
              </w:rPr>
            </w:pPr>
          </w:p>
          <w:p>
            <w:pPr>
              <w:jc w:val="center"/>
              <w:rPr>
                <w:rFonts w:hint="eastAsia" w:eastAsia="宋体"/>
                <w:sz w:val="21"/>
                <w:lang w:val="en-US" w:eastAsia="zh-CN"/>
              </w:rPr>
            </w:pPr>
            <w:r>
              <w:rPr>
                <w:rFonts w:hint="eastAsia" w:eastAsia="宋体"/>
                <w:sz w:val="21"/>
                <w:lang w:val="en-US" w:eastAsia="zh-CN"/>
              </w:rPr>
              <w:t>0</w:t>
            </w:r>
          </w:p>
          <w:p>
            <w:pPr>
              <w:jc w:val="center"/>
              <w:rPr>
                <w:rFonts w:hint="eastAsia" w:eastAsia="宋体"/>
                <w:sz w:val="21"/>
                <w:lang w:val="en-US" w:eastAsia="zh-CN"/>
              </w:rPr>
            </w:pPr>
          </w:p>
        </w:tc>
        <w:tc>
          <w:tcPr>
            <w:tcW w:w="598"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2876" w:type="dxa"/>
            <w:vAlign w:val="top"/>
          </w:tcPr>
          <w:p>
            <w:pPr>
              <w:spacing w:before="65" w:line="258" w:lineRule="auto"/>
              <w:ind w:left="69" w:right="38" w:hanging="5"/>
              <w:rPr>
                <w:rFonts w:ascii="仿宋" w:hAnsi="仿宋" w:eastAsia="仿宋" w:cs="仿宋"/>
                <w:sz w:val="20"/>
                <w:szCs w:val="20"/>
              </w:rPr>
            </w:pPr>
            <w:r>
              <w:rPr>
                <w:rFonts w:ascii="仿宋" w:hAnsi="仿宋" w:eastAsia="仿宋" w:cs="仿宋"/>
                <w:spacing w:val="12"/>
                <w:sz w:val="20"/>
                <w:szCs w:val="20"/>
              </w:rPr>
              <w:t>2.申请人逾期未按收费通知</w:t>
            </w:r>
            <w:r>
              <w:rPr>
                <w:rFonts w:ascii="仿宋" w:hAnsi="仿宋" w:eastAsia="仿宋" w:cs="仿宋"/>
                <w:spacing w:val="11"/>
                <w:sz w:val="20"/>
                <w:szCs w:val="20"/>
              </w:rPr>
              <w:t>要</w:t>
            </w:r>
            <w:r>
              <w:rPr>
                <w:rFonts w:ascii="仿宋" w:hAnsi="仿宋" w:eastAsia="仿宋" w:cs="仿宋"/>
                <w:spacing w:val="-4"/>
                <w:sz w:val="20"/>
                <w:szCs w:val="20"/>
              </w:rPr>
              <w:t>求缴纳费用</w:t>
            </w:r>
            <w:r>
              <w:rPr>
                <w:rFonts w:ascii="仿宋" w:hAnsi="仿宋" w:eastAsia="仿宋" w:cs="仿宋"/>
                <w:spacing w:val="-2"/>
                <w:sz w:val="20"/>
                <w:szCs w:val="20"/>
              </w:rPr>
              <w:t>、行政机关不再处理</w:t>
            </w:r>
            <w:r>
              <w:rPr>
                <w:rFonts w:ascii="仿宋" w:hAnsi="仿宋" w:eastAsia="仿宋" w:cs="仿宋"/>
                <w:spacing w:val="2"/>
                <w:sz w:val="20"/>
                <w:szCs w:val="20"/>
              </w:rPr>
              <w:t>其政府信息</w:t>
            </w:r>
            <w:r>
              <w:rPr>
                <w:rFonts w:ascii="仿宋" w:hAnsi="仿宋" w:eastAsia="仿宋" w:cs="仿宋"/>
                <w:spacing w:val="1"/>
                <w:sz w:val="20"/>
                <w:szCs w:val="20"/>
              </w:rPr>
              <w:t>公开申请</w:t>
            </w:r>
          </w:p>
        </w:tc>
        <w:tc>
          <w:tcPr>
            <w:tcW w:w="790"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eastAsia="宋体"/>
                <w:sz w:val="21"/>
                <w:lang w:val="en-US" w:eastAsia="zh-CN"/>
              </w:rPr>
            </w:pPr>
          </w:p>
          <w:p>
            <w:pPr>
              <w:jc w:val="center"/>
              <w:rPr>
                <w:rFonts w:hint="eastAsia" w:eastAsia="宋体"/>
                <w:sz w:val="21"/>
                <w:lang w:val="en-US" w:eastAsia="zh-CN"/>
              </w:rPr>
            </w:pPr>
            <w:r>
              <w:rPr>
                <w:rFonts w:hint="eastAsia" w:eastAsia="宋体"/>
                <w:sz w:val="21"/>
                <w:lang w:val="en-US" w:eastAsia="zh-CN"/>
              </w:rPr>
              <w:t>0</w:t>
            </w:r>
          </w:p>
          <w:p>
            <w:pPr>
              <w:jc w:val="center"/>
              <w:rPr>
                <w:rFonts w:hint="eastAsia" w:eastAsia="宋体"/>
                <w:sz w:val="21"/>
                <w:lang w:val="en-US" w:eastAsia="zh-CN"/>
              </w:rPr>
            </w:pPr>
          </w:p>
        </w:tc>
        <w:tc>
          <w:tcPr>
            <w:tcW w:w="559"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continue"/>
            <w:tcBorders>
              <w:top w:val="nil"/>
              <w:bottom w:val="nil"/>
            </w:tcBorders>
            <w:vAlign w:val="top"/>
          </w:tcPr>
          <w:p>
            <w:pPr>
              <w:rPr>
                <w:rFonts w:ascii="Arial"/>
                <w:sz w:val="21"/>
              </w:rPr>
            </w:pPr>
          </w:p>
        </w:tc>
        <w:tc>
          <w:tcPr>
            <w:tcW w:w="941" w:type="dxa"/>
            <w:vMerge w:val="continue"/>
            <w:tcBorders>
              <w:top w:val="nil"/>
            </w:tcBorders>
            <w:vAlign w:val="top"/>
          </w:tcPr>
          <w:p>
            <w:pPr>
              <w:rPr>
                <w:rFonts w:ascii="Arial"/>
                <w:sz w:val="21"/>
              </w:rPr>
            </w:pPr>
          </w:p>
        </w:tc>
        <w:tc>
          <w:tcPr>
            <w:tcW w:w="2876" w:type="dxa"/>
            <w:vAlign w:val="top"/>
          </w:tcPr>
          <w:p>
            <w:pPr>
              <w:spacing w:before="64" w:line="222" w:lineRule="auto"/>
              <w:ind w:left="66"/>
              <w:rPr>
                <w:rFonts w:ascii="仿宋" w:hAnsi="仿宋" w:eastAsia="仿宋" w:cs="仿宋"/>
                <w:sz w:val="20"/>
                <w:szCs w:val="20"/>
              </w:rPr>
            </w:pPr>
            <w:r>
              <w:rPr>
                <w:rFonts w:ascii="仿宋" w:hAnsi="仿宋" w:eastAsia="仿宋" w:cs="仿宋"/>
                <w:spacing w:val="-11"/>
                <w:sz w:val="20"/>
                <w:szCs w:val="20"/>
              </w:rPr>
              <w:t>3</w:t>
            </w:r>
            <w:r>
              <w:rPr>
                <w:rFonts w:ascii="仿宋" w:hAnsi="仿宋" w:eastAsia="仿宋" w:cs="仿宋"/>
                <w:spacing w:val="-10"/>
                <w:sz w:val="20"/>
                <w:szCs w:val="20"/>
              </w:rPr>
              <w:t>.其他</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continue"/>
            <w:tcBorders>
              <w:top w:val="nil"/>
            </w:tcBorders>
            <w:vAlign w:val="top"/>
          </w:tcPr>
          <w:p>
            <w:pPr>
              <w:rPr>
                <w:rFonts w:ascii="Arial"/>
                <w:sz w:val="21"/>
              </w:rPr>
            </w:pPr>
          </w:p>
        </w:tc>
        <w:tc>
          <w:tcPr>
            <w:tcW w:w="3817" w:type="dxa"/>
            <w:gridSpan w:val="2"/>
            <w:vAlign w:val="top"/>
          </w:tcPr>
          <w:p>
            <w:pPr>
              <w:spacing w:before="64" w:line="222" w:lineRule="auto"/>
              <w:ind w:left="70"/>
              <w:rPr>
                <w:rFonts w:ascii="仿宋" w:hAnsi="仿宋" w:eastAsia="仿宋" w:cs="仿宋"/>
                <w:sz w:val="20"/>
                <w:szCs w:val="20"/>
              </w:rPr>
            </w:pPr>
            <w:r>
              <w:rPr>
                <w:rFonts w:ascii="仿宋" w:hAnsi="仿宋" w:eastAsia="仿宋" w:cs="仿宋"/>
                <w:spacing w:val="17"/>
                <w:sz w:val="20"/>
                <w:szCs w:val="20"/>
              </w:rPr>
              <w:t>(七)总计</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589" w:type="dxa"/>
            <w:gridSpan w:val="3"/>
            <w:vAlign w:val="top"/>
          </w:tcPr>
          <w:p>
            <w:pPr>
              <w:spacing w:before="64" w:line="226" w:lineRule="auto"/>
              <w:ind w:left="95"/>
              <w:rPr>
                <w:rFonts w:ascii="仿宋" w:hAnsi="仿宋" w:eastAsia="仿宋" w:cs="仿宋"/>
                <w:sz w:val="20"/>
                <w:szCs w:val="20"/>
              </w:rPr>
            </w:pPr>
            <w:r>
              <w:rPr>
                <w:rFonts w:ascii="仿宋" w:hAnsi="仿宋" w:eastAsia="仿宋" w:cs="仿宋"/>
                <w:spacing w:val="-1"/>
                <w:sz w:val="20"/>
                <w:szCs w:val="20"/>
              </w:rPr>
              <w:t>四、结</w:t>
            </w:r>
            <w:r>
              <w:rPr>
                <w:rFonts w:ascii="仿宋" w:hAnsi="仿宋" w:eastAsia="仿宋" w:cs="仿宋"/>
                <w:sz w:val="20"/>
                <w:szCs w:val="20"/>
              </w:rPr>
              <w:t>转下年度继续办理</w:t>
            </w:r>
          </w:p>
        </w:tc>
        <w:tc>
          <w:tcPr>
            <w:tcW w:w="7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98"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71"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25" w:type="dxa"/>
            <w:vAlign w:val="top"/>
          </w:tcPr>
          <w:p>
            <w:pPr>
              <w:jc w:val="center"/>
              <w:rPr>
                <w:rFonts w:hint="eastAsia" w:ascii="Arial" w:eastAsia="宋体"/>
                <w:sz w:val="21"/>
                <w:lang w:val="en-US" w:eastAsia="zh-CN"/>
              </w:rPr>
            </w:pPr>
            <w:r>
              <w:rPr>
                <w:rFonts w:hint="eastAsia" w:eastAsia="宋体"/>
                <w:sz w:val="21"/>
                <w:lang w:val="en-US" w:eastAsia="zh-CN"/>
              </w:rPr>
              <w:t>0</w:t>
            </w:r>
          </w:p>
        </w:tc>
      </w:tr>
    </w:tbl>
    <w:p>
      <w:pPr>
        <w:spacing w:before="196" w:line="226" w:lineRule="auto"/>
        <w:ind w:left="702"/>
        <w:rPr>
          <w:rFonts w:ascii="黑体" w:hAnsi="黑体" w:eastAsia="黑体" w:cs="黑体"/>
          <w:sz w:val="31"/>
          <w:szCs w:val="31"/>
        </w:rPr>
      </w:pPr>
      <w:r>
        <w:rPr>
          <w:rFonts w:ascii="黑体" w:hAnsi="黑体" w:eastAsia="黑体" w:cs="黑体"/>
          <w:spacing w:val="2"/>
          <w:sz w:val="31"/>
          <w:szCs w:val="31"/>
        </w:rPr>
        <w:t>四、政府信息公开行政复议、行政诉讼情</w:t>
      </w:r>
      <w:r>
        <w:rPr>
          <w:rFonts w:ascii="黑体" w:hAnsi="黑体" w:eastAsia="黑体" w:cs="黑体"/>
          <w:sz w:val="31"/>
          <w:szCs w:val="31"/>
        </w:rPr>
        <w:t>况</w:t>
      </w:r>
    </w:p>
    <w:p>
      <w:pPr>
        <w:spacing w:line="14" w:lineRule="exact"/>
      </w:pPr>
    </w:p>
    <w:tbl>
      <w:tblPr>
        <w:tblStyle w:val="8"/>
        <w:tblW w:w="8814"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451"/>
        <w:gridCol w:w="600"/>
        <w:gridCol w:w="591"/>
        <w:gridCol w:w="461"/>
        <w:gridCol w:w="649"/>
        <w:gridCol w:w="648"/>
        <w:gridCol w:w="650"/>
        <w:gridCol w:w="636"/>
        <w:gridCol w:w="426"/>
        <w:gridCol w:w="649"/>
        <w:gridCol w:w="649"/>
        <w:gridCol w:w="649"/>
        <w:gridCol w:w="555"/>
        <w:gridCol w:w="4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892" w:type="dxa"/>
            <w:gridSpan w:val="5"/>
            <w:vAlign w:val="top"/>
          </w:tcPr>
          <w:p>
            <w:pPr>
              <w:spacing w:before="97" w:line="230" w:lineRule="auto"/>
              <w:ind w:left="1049"/>
              <w:rPr>
                <w:rFonts w:ascii="黑体" w:hAnsi="黑体" w:eastAsia="黑体" w:cs="黑体"/>
                <w:sz w:val="20"/>
                <w:szCs w:val="20"/>
              </w:rPr>
            </w:pPr>
            <w:r>
              <w:rPr>
                <w:rFonts w:ascii="黑体" w:hAnsi="黑体" w:eastAsia="黑体" w:cs="黑体"/>
                <w:spacing w:val="2"/>
                <w:sz w:val="20"/>
                <w:szCs w:val="20"/>
              </w:rPr>
              <w:t>行</w:t>
            </w:r>
            <w:r>
              <w:rPr>
                <w:rFonts w:ascii="黑体" w:hAnsi="黑体" w:eastAsia="黑体" w:cs="黑体"/>
                <w:spacing w:val="1"/>
                <w:sz w:val="20"/>
                <w:szCs w:val="20"/>
              </w:rPr>
              <w:t>政复议</w:t>
            </w:r>
          </w:p>
        </w:tc>
        <w:tc>
          <w:tcPr>
            <w:tcW w:w="5922" w:type="dxa"/>
            <w:gridSpan w:val="10"/>
            <w:vAlign w:val="top"/>
          </w:tcPr>
          <w:p>
            <w:pPr>
              <w:spacing w:before="96" w:line="229" w:lineRule="auto"/>
              <w:ind w:left="2563"/>
              <w:rPr>
                <w:rFonts w:ascii="黑体" w:hAnsi="黑体" w:eastAsia="黑体" w:cs="黑体"/>
                <w:sz w:val="20"/>
                <w:szCs w:val="20"/>
              </w:rPr>
            </w:pPr>
            <w:r>
              <w:rPr>
                <w:rFonts w:ascii="黑体" w:hAnsi="黑体" w:eastAsia="黑体" w:cs="黑体"/>
                <w:spacing w:val="2"/>
                <w:sz w:val="20"/>
                <w:szCs w:val="20"/>
              </w:rPr>
              <w:t>行</w:t>
            </w:r>
            <w:r>
              <w:rPr>
                <w:rFonts w:ascii="黑体" w:hAnsi="黑体" w:eastAsia="黑体" w:cs="黑体"/>
                <w:spacing w:val="1"/>
                <w:sz w:val="20"/>
                <w:szCs w:val="20"/>
              </w:rPr>
              <w:t>政诉讼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789" w:type="dxa"/>
            <w:vMerge w:val="restart"/>
            <w:tcBorders>
              <w:bottom w:val="nil"/>
            </w:tcBorders>
            <w:vAlign w:val="top"/>
          </w:tcPr>
          <w:p>
            <w:pPr>
              <w:spacing w:before="266" w:line="326" w:lineRule="auto"/>
              <w:ind w:left="111" w:right="97"/>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pacing w:val="2"/>
                <w:sz w:val="20"/>
                <w:szCs w:val="20"/>
              </w:rPr>
              <w:t>维持</w:t>
            </w:r>
          </w:p>
        </w:tc>
        <w:tc>
          <w:tcPr>
            <w:tcW w:w="451" w:type="dxa"/>
            <w:vMerge w:val="restart"/>
            <w:tcBorders>
              <w:bottom w:val="nil"/>
            </w:tcBorders>
            <w:vAlign w:val="top"/>
          </w:tcPr>
          <w:p>
            <w:pPr>
              <w:spacing w:before="267" w:line="327" w:lineRule="auto"/>
              <w:ind w:left="114" w:right="99" w:hanging="2"/>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z w:val="20"/>
                <w:szCs w:val="20"/>
              </w:rPr>
              <w:t>纠正</w:t>
            </w:r>
          </w:p>
        </w:tc>
        <w:tc>
          <w:tcPr>
            <w:tcW w:w="600" w:type="dxa"/>
            <w:vMerge w:val="restart"/>
            <w:tcBorders>
              <w:bottom w:val="nil"/>
            </w:tcBorders>
            <w:vAlign w:val="top"/>
          </w:tcPr>
          <w:p>
            <w:pPr>
              <w:spacing w:before="266" w:line="328" w:lineRule="auto"/>
              <w:ind w:left="101" w:right="90" w:firstLine="3"/>
              <w:rPr>
                <w:rFonts w:ascii="黑体" w:hAnsi="黑体" w:eastAsia="黑体" w:cs="黑体"/>
                <w:sz w:val="20"/>
                <w:szCs w:val="20"/>
              </w:rPr>
            </w:pPr>
            <w:r>
              <w:rPr>
                <w:rFonts w:ascii="黑体" w:hAnsi="黑体" w:eastAsia="黑体" w:cs="黑体"/>
                <w:sz w:val="20"/>
                <w:szCs w:val="20"/>
              </w:rPr>
              <w:t>其他</w:t>
            </w:r>
            <w:r>
              <w:rPr>
                <w:rFonts w:ascii="黑体" w:hAnsi="黑体" w:eastAsia="黑体" w:cs="黑体"/>
                <w:spacing w:val="2"/>
                <w:sz w:val="20"/>
                <w:szCs w:val="20"/>
              </w:rPr>
              <w:t>结</w:t>
            </w:r>
            <w:r>
              <w:rPr>
                <w:rFonts w:ascii="黑体" w:hAnsi="黑体" w:eastAsia="黑体" w:cs="黑体"/>
                <w:spacing w:val="1"/>
                <w:sz w:val="20"/>
                <w:szCs w:val="20"/>
              </w:rPr>
              <w:t>果</w:t>
            </w:r>
          </w:p>
        </w:tc>
        <w:tc>
          <w:tcPr>
            <w:tcW w:w="591" w:type="dxa"/>
            <w:vMerge w:val="restart"/>
            <w:tcBorders>
              <w:bottom w:val="nil"/>
            </w:tcBorders>
            <w:vAlign w:val="top"/>
          </w:tcPr>
          <w:p>
            <w:pPr>
              <w:spacing w:before="266" w:line="326" w:lineRule="auto"/>
              <w:ind w:left="103" w:right="85" w:firstLine="5"/>
              <w:rPr>
                <w:rFonts w:ascii="黑体" w:hAnsi="黑体" w:eastAsia="黑体" w:cs="黑体"/>
                <w:sz w:val="20"/>
                <w:szCs w:val="20"/>
              </w:rPr>
            </w:pPr>
            <w:r>
              <w:rPr>
                <w:rFonts w:ascii="黑体" w:hAnsi="黑体" w:eastAsia="黑体" w:cs="黑体"/>
                <w:spacing w:val="-5"/>
                <w:sz w:val="20"/>
                <w:szCs w:val="20"/>
              </w:rPr>
              <w:t>尚</w:t>
            </w:r>
            <w:r>
              <w:rPr>
                <w:rFonts w:ascii="黑体" w:hAnsi="黑体" w:eastAsia="黑体" w:cs="黑体"/>
                <w:spacing w:val="-4"/>
                <w:sz w:val="20"/>
                <w:szCs w:val="20"/>
              </w:rPr>
              <w:t>未</w:t>
            </w:r>
            <w:r>
              <w:rPr>
                <w:rFonts w:ascii="黑体" w:hAnsi="黑体" w:eastAsia="黑体" w:cs="黑体"/>
                <w:spacing w:val="-2"/>
                <w:sz w:val="20"/>
                <w:szCs w:val="20"/>
              </w:rPr>
              <w:t>审结</w:t>
            </w:r>
          </w:p>
        </w:tc>
        <w:tc>
          <w:tcPr>
            <w:tcW w:w="461" w:type="dxa"/>
            <w:vMerge w:val="restart"/>
            <w:tcBorders>
              <w:bottom w:val="nil"/>
            </w:tcBorders>
            <w:textDirection w:val="tbRlV"/>
            <w:vAlign w:val="top"/>
          </w:tcPr>
          <w:p>
            <w:pPr>
              <w:spacing w:before="121" w:line="218" w:lineRule="auto"/>
              <w:ind w:left="266"/>
              <w:rPr>
                <w:rFonts w:ascii="黑体" w:hAnsi="黑体" w:eastAsia="黑体" w:cs="黑体"/>
                <w:sz w:val="20"/>
                <w:szCs w:val="20"/>
              </w:rPr>
            </w:pPr>
            <w:r>
              <w:rPr>
                <w:rFonts w:ascii="黑体" w:hAnsi="黑体" w:eastAsia="黑体" w:cs="黑体"/>
                <w:spacing w:val="18"/>
                <w:sz w:val="20"/>
                <w:szCs w:val="20"/>
              </w:rPr>
              <w:t>总</w:t>
            </w:r>
            <w:r>
              <w:rPr>
                <w:rFonts w:ascii="黑体" w:hAnsi="黑体" w:eastAsia="黑体" w:cs="黑体"/>
                <w:spacing w:val="17"/>
                <w:sz w:val="20"/>
                <w:szCs w:val="20"/>
              </w:rPr>
              <w:t>计</w:t>
            </w:r>
          </w:p>
        </w:tc>
        <w:tc>
          <w:tcPr>
            <w:tcW w:w="3009" w:type="dxa"/>
            <w:gridSpan w:val="5"/>
            <w:vAlign w:val="top"/>
          </w:tcPr>
          <w:p>
            <w:pPr>
              <w:spacing w:before="90" w:line="229" w:lineRule="auto"/>
              <w:ind w:left="703"/>
              <w:rPr>
                <w:rFonts w:ascii="黑体" w:hAnsi="黑体" w:eastAsia="黑体" w:cs="黑体"/>
                <w:sz w:val="20"/>
                <w:szCs w:val="20"/>
              </w:rPr>
            </w:pPr>
            <w:r>
              <w:rPr>
                <w:rFonts w:ascii="黑体" w:hAnsi="黑体" w:eastAsia="黑体" w:cs="黑体"/>
                <w:spacing w:val="2"/>
                <w:sz w:val="20"/>
                <w:szCs w:val="20"/>
              </w:rPr>
              <w:t>未经复议直接起</w:t>
            </w:r>
            <w:r>
              <w:rPr>
                <w:rFonts w:ascii="黑体" w:hAnsi="黑体" w:eastAsia="黑体" w:cs="黑体"/>
                <w:spacing w:val="1"/>
                <w:sz w:val="20"/>
                <w:szCs w:val="20"/>
              </w:rPr>
              <w:t>诉</w:t>
            </w:r>
          </w:p>
        </w:tc>
        <w:tc>
          <w:tcPr>
            <w:tcW w:w="2913" w:type="dxa"/>
            <w:gridSpan w:val="5"/>
            <w:vAlign w:val="top"/>
          </w:tcPr>
          <w:p>
            <w:pPr>
              <w:spacing w:before="90" w:line="229" w:lineRule="auto"/>
              <w:ind w:left="961"/>
              <w:rPr>
                <w:rFonts w:ascii="黑体" w:hAnsi="黑体" w:eastAsia="黑体" w:cs="黑体"/>
                <w:sz w:val="20"/>
                <w:szCs w:val="20"/>
              </w:rPr>
            </w:pPr>
            <w:r>
              <w:rPr>
                <w:rFonts w:ascii="黑体" w:hAnsi="黑体" w:eastAsia="黑体" w:cs="黑体"/>
                <w:spacing w:val="1"/>
                <w:sz w:val="20"/>
                <w:szCs w:val="20"/>
              </w:rPr>
              <w:t>复议后起诉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789" w:type="dxa"/>
            <w:vMerge w:val="continue"/>
            <w:tcBorders>
              <w:top w:val="nil"/>
            </w:tcBorders>
            <w:vAlign w:val="top"/>
          </w:tcPr>
          <w:p>
            <w:pPr>
              <w:rPr>
                <w:rFonts w:ascii="Arial"/>
                <w:sz w:val="21"/>
              </w:rPr>
            </w:pPr>
          </w:p>
        </w:tc>
        <w:tc>
          <w:tcPr>
            <w:tcW w:w="451" w:type="dxa"/>
            <w:vMerge w:val="continue"/>
            <w:tcBorders>
              <w:top w:val="nil"/>
            </w:tcBorders>
            <w:vAlign w:val="top"/>
          </w:tcPr>
          <w:p>
            <w:pPr>
              <w:rPr>
                <w:rFonts w:ascii="Arial"/>
                <w:sz w:val="21"/>
              </w:rPr>
            </w:pPr>
          </w:p>
        </w:tc>
        <w:tc>
          <w:tcPr>
            <w:tcW w:w="600" w:type="dxa"/>
            <w:vMerge w:val="continue"/>
            <w:tcBorders>
              <w:top w:val="nil"/>
            </w:tcBorders>
            <w:vAlign w:val="top"/>
          </w:tcPr>
          <w:p>
            <w:pPr>
              <w:rPr>
                <w:rFonts w:ascii="Arial"/>
                <w:sz w:val="21"/>
              </w:rPr>
            </w:pPr>
          </w:p>
        </w:tc>
        <w:tc>
          <w:tcPr>
            <w:tcW w:w="591" w:type="dxa"/>
            <w:vMerge w:val="continue"/>
            <w:tcBorders>
              <w:top w:val="nil"/>
            </w:tcBorders>
            <w:vAlign w:val="top"/>
          </w:tcPr>
          <w:p>
            <w:pPr>
              <w:rPr>
                <w:rFonts w:ascii="Arial"/>
                <w:sz w:val="21"/>
              </w:rPr>
            </w:pPr>
          </w:p>
        </w:tc>
        <w:tc>
          <w:tcPr>
            <w:tcW w:w="461" w:type="dxa"/>
            <w:vMerge w:val="continue"/>
            <w:tcBorders>
              <w:top w:val="nil"/>
            </w:tcBorders>
            <w:textDirection w:val="tbRlV"/>
            <w:vAlign w:val="top"/>
          </w:tcPr>
          <w:p>
            <w:pPr>
              <w:rPr>
                <w:rFonts w:ascii="Arial"/>
                <w:sz w:val="21"/>
              </w:rPr>
            </w:pPr>
          </w:p>
        </w:tc>
        <w:tc>
          <w:tcPr>
            <w:tcW w:w="649" w:type="dxa"/>
            <w:vAlign w:val="top"/>
          </w:tcPr>
          <w:p>
            <w:pPr>
              <w:spacing w:before="93" w:line="272" w:lineRule="auto"/>
              <w:ind w:left="126" w:right="113"/>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pacing w:val="2"/>
                <w:sz w:val="20"/>
                <w:szCs w:val="20"/>
              </w:rPr>
              <w:t>维持</w:t>
            </w:r>
          </w:p>
        </w:tc>
        <w:tc>
          <w:tcPr>
            <w:tcW w:w="648" w:type="dxa"/>
            <w:vAlign w:val="top"/>
          </w:tcPr>
          <w:p>
            <w:pPr>
              <w:spacing w:before="93" w:line="272" w:lineRule="auto"/>
              <w:ind w:left="128" w:right="113" w:hanging="2"/>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z w:val="20"/>
                <w:szCs w:val="20"/>
              </w:rPr>
              <w:t>纠正</w:t>
            </w:r>
          </w:p>
        </w:tc>
        <w:tc>
          <w:tcPr>
            <w:tcW w:w="650" w:type="dxa"/>
            <w:vAlign w:val="top"/>
          </w:tcPr>
          <w:p>
            <w:pPr>
              <w:spacing w:before="93" w:line="272" w:lineRule="auto"/>
              <w:ind w:left="128" w:right="113" w:firstLine="3"/>
              <w:rPr>
                <w:rFonts w:ascii="黑体" w:hAnsi="黑体" w:eastAsia="黑体" w:cs="黑体"/>
                <w:sz w:val="20"/>
                <w:szCs w:val="20"/>
              </w:rPr>
            </w:pPr>
            <w:r>
              <w:rPr>
                <w:rFonts w:ascii="黑体" w:hAnsi="黑体" w:eastAsia="黑体" w:cs="黑体"/>
                <w:sz w:val="20"/>
                <w:szCs w:val="20"/>
              </w:rPr>
              <w:t>其他</w:t>
            </w:r>
            <w:r>
              <w:rPr>
                <w:rFonts w:ascii="黑体" w:hAnsi="黑体" w:eastAsia="黑体" w:cs="黑体"/>
                <w:spacing w:val="2"/>
                <w:sz w:val="20"/>
                <w:szCs w:val="20"/>
              </w:rPr>
              <w:t>结</w:t>
            </w:r>
            <w:r>
              <w:rPr>
                <w:rFonts w:ascii="黑体" w:hAnsi="黑体" w:eastAsia="黑体" w:cs="黑体"/>
                <w:spacing w:val="1"/>
                <w:sz w:val="20"/>
                <w:szCs w:val="20"/>
              </w:rPr>
              <w:t>果</w:t>
            </w:r>
          </w:p>
        </w:tc>
        <w:tc>
          <w:tcPr>
            <w:tcW w:w="636" w:type="dxa"/>
            <w:vAlign w:val="top"/>
          </w:tcPr>
          <w:p>
            <w:pPr>
              <w:spacing w:before="93" w:line="272" w:lineRule="auto"/>
              <w:ind w:left="128" w:right="106" w:firstLine="5"/>
              <w:rPr>
                <w:rFonts w:ascii="黑体" w:hAnsi="黑体" w:eastAsia="黑体" w:cs="黑体"/>
                <w:sz w:val="20"/>
                <w:szCs w:val="20"/>
              </w:rPr>
            </w:pPr>
            <w:r>
              <w:rPr>
                <w:rFonts w:ascii="黑体" w:hAnsi="黑体" w:eastAsia="黑体" w:cs="黑体"/>
                <w:spacing w:val="-5"/>
                <w:sz w:val="20"/>
                <w:szCs w:val="20"/>
              </w:rPr>
              <w:t>尚</w:t>
            </w:r>
            <w:r>
              <w:rPr>
                <w:rFonts w:ascii="黑体" w:hAnsi="黑体" w:eastAsia="黑体" w:cs="黑体"/>
                <w:spacing w:val="-4"/>
                <w:sz w:val="20"/>
                <w:szCs w:val="20"/>
              </w:rPr>
              <w:t>未</w:t>
            </w:r>
            <w:r>
              <w:rPr>
                <w:rFonts w:ascii="黑体" w:hAnsi="黑体" w:eastAsia="黑体" w:cs="黑体"/>
                <w:spacing w:val="-2"/>
                <w:sz w:val="20"/>
                <w:szCs w:val="20"/>
              </w:rPr>
              <w:t>审结</w:t>
            </w:r>
          </w:p>
        </w:tc>
        <w:tc>
          <w:tcPr>
            <w:tcW w:w="426" w:type="dxa"/>
            <w:textDirection w:val="tbRlV"/>
            <w:vAlign w:val="top"/>
          </w:tcPr>
          <w:p>
            <w:pPr>
              <w:spacing w:before="102" w:line="218" w:lineRule="auto"/>
              <w:ind w:left="92"/>
              <w:rPr>
                <w:rFonts w:ascii="黑体" w:hAnsi="黑体" w:eastAsia="黑体" w:cs="黑体"/>
                <w:sz w:val="20"/>
                <w:szCs w:val="20"/>
              </w:rPr>
            </w:pPr>
            <w:r>
              <w:rPr>
                <w:rFonts w:ascii="黑体" w:hAnsi="黑体" w:eastAsia="黑体" w:cs="黑体"/>
                <w:spacing w:val="18"/>
                <w:sz w:val="20"/>
                <w:szCs w:val="20"/>
              </w:rPr>
              <w:t>总</w:t>
            </w:r>
            <w:r>
              <w:rPr>
                <w:rFonts w:ascii="黑体" w:hAnsi="黑体" w:eastAsia="黑体" w:cs="黑体"/>
                <w:spacing w:val="17"/>
                <w:sz w:val="20"/>
                <w:szCs w:val="20"/>
              </w:rPr>
              <w:t>计</w:t>
            </w:r>
          </w:p>
        </w:tc>
        <w:tc>
          <w:tcPr>
            <w:tcW w:w="649" w:type="dxa"/>
            <w:vAlign w:val="top"/>
          </w:tcPr>
          <w:p>
            <w:pPr>
              <w:spacing w:before="93" w:line="272" w:lineRule="auto"/>
              <w:ind w:left="126" w:right="113"/>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pacing w:val="2"/>
                <w:sz w:val="20"/>
                <w:szCs w:val="20"/>
              </w:rPr>
              <w:t>维持</w:t>
            </w:r>
          </w:p>
        </w:tc>
        <w:tc>
          <w:tcPr>
            <w:tcW w:w="649" w:type="dxa"/>
            <w:vAlign w:val="top"/>
          </w:tcPr>
          <w:p>
            <w:pPr>
              <w:spacing w:before="93" w:line="272" w:lineRule="auto"/>
              <w:ind w:left="131" w:right="111" w:hanging="2"/>
              <w:rPr>
                <w:rFonts w:ascii="黑体" w:hAnsi="黑体" w:eastAsia="黑体" w:cs="黑体"/>
                <w:sz w:val="20"/>
                <w:szCs w:val="20"/>
              </w:rPr>
            </w:pPr>
            <w:r>
              <w:rPr>
                <w:rFonts w:ascii="黑体" w:hAnsi="黑体" w:eastAsia="黑体" w:cs="黑体"/>
                <w:spacing w:val="2"/>
                <w:sz w:val="20"/>
                <w:szCs w:val="20"/>
              </w:rPr>
              <w:t>结</w:t>
            </w:r>
            <w:r>
              <w:rPr>
                <w:rFonts w:ascii="黑体" w:hAnsi="黑体" w:eastAsia="黑体" w:cs="黑体"/>
                <w:spacing w:val="1"/>
                <w:sz w:val="20"/>
                <w:szCs w:val="20"/>
              </w:rPr>
              <w:t>果</w:t>
            </w:r>
            <w:r>
              <w:rPr>
                <w:rFonts w:ascii="黑体" w:hAnsi="黑体" w:eastAsia="黑体" w:cs="黑体"/>
                <w:sz w:val="20"/>
                <w:szCs w:val="20"/>
              </w:rPr>
              <w:t>纠正</w:t>
            </w:r>
          </w:p>
        </w:tc>
        <w:tc>
          <w:tcPr>
            <w:tcW w:w="649" w:type="dxa"/>
            <w:vAlign w:val="top"/>
          </w:tcPr>
          <w:p>
            <w:pPr>
              <w:spacing w:before="93" w:line="272" w:lineRule="auto"/>
              <w:ind w:left="130" w:right="110" w:firstLine="3"/>
              <w:rPr>
                <w:rFonts w:ascii="黑体" w:hAnsi="黑体" w:eastAsia="黑体" w:cs="黑体"/>
                <w:sz w:val="20"/>
                <w:szCs w:val="20"/>
              </w:rPr>
            </w:pPr>
            <w:r>
              <w:rPr>
                <w:rFonts w:ascii="黑体" w:hAnsi="黑体" w:eastAsia="黑体" w:cs="黑体"/>
                <w:sz w:val="20"/>
                <w:szCs w:val="20"/>
              </w:rPr>
              <w:t>其他</w:t>
            </w:r>
            <w:r>
              <w:rPr>
                <w:rFonts w:ascii="黑体" w:hAnsi="黑体" w:eastAsia="黑体" w:cs="黑体"/>
                <w:spacing w:val="2"/>
                <w:sz w:val="20"/>
                <w:szCs w:val="20"/>
              </w:rPr>
              <w:t>结</w:t>
            </w:r>
            <w:r>
              <w:rPr>
                <w:rFonts w:ascii="黑体" w:hAnsi="黑体" w:eastAsia="黑体" w:cs="黑体"/>
                <w:spacing w:val="1"/>
                <w:sz w:val="20"/>
                <w:szCs w:val="20"/>
              </w:rPr>
              <w:t>果</w:t>
            </w:r>
          </w:p>
        </w:tc>
        <w:tc>
          <w:tcPr>
            <w:tcW w:w="555" w:type="dxa"/>
            <w:vAlign w:val="top"/>
          </w:tcPr>
          <w:p>
            <w:pPr>
              <w:spacing w:before="93" w:line="272" w:lineRule="auto"/>
              <w:ind w:left="90" w:right="62" w:firstLine="5"/>
              <w:rPr>
                <w:rFonts w:ascii="黑体" w:hAnsi="黑体" w:eastAsia="黑体" w:cs="黑体"/>
                <w:sz w:val="20"/>
                <w:szCs w:val="20"/>
              </w:rPr>
            </w:pPr>
            <w:r>
              <w:rPr>
                <w:rFonts w:ascii="黑体" w:hAnsi="黑体" w:eastAsia="黑体" w:cs="黑体"/>
                <w:spacing w:val="-5"/>
                <w:sz w:val="20"/>
                <w:szCs w:val="20"/>
              </w:rPr>
              <w:t>尚</w:t>
            </w:r>
            <w:r>
              <w:rPr>
                <w:rFonts w:ascii="黑体" w:hAnsi="黑体" w:eastAsia="黑体" w:cs="黑体"/>
                <w:spacing w:val="-4"/>
                <w:sz w:val="20"/>
                <w:szCs w:val="20"/>
              </w:rPr>
              <w:t>未</w:t>
            </w:r>
            <w:r>
              <w:rPr>
                <w:rFonts w:ascii="黑体" w:hAnsi="黑体" w:eastAsia="黑体" w:cs="黑体"/>
                <w:spacing w:val="-2"/>
                <w:sz w:val="20"/>
                <w:szCs w:val="20"/>
              </w:rPr>
              <w:t>审结</w:t>
            </w:r>
          </w:p>
        </w:tc>
        <w:tc>
          <w:tcPr>
            <w:tcW w:w="411" w:type="dxa"/>
            <w:textDirection w:val="tbRlV"/>
            <w:vAlign w:val="top"/>
          </w:tcPr>
          <w:p>
            <w:pPr>
              <w:spacing w:before="94" w:line="218" w:lineRule="auto"/>
              <w:ind w:left="92"/>
              <w:rPr>
                <w:rFonts w:ascii="黑体" w:hAnsi="黑体" w:eastAsia="黑体" w:cs="黑体"/>
                <w:sz w:val="20"/>
                <w:szCs w:val="20"/>
              </w:rPr>
            </w:pPr>
            <w:r>
              <w:rPr>
                <w:rFonts w:ascii="黑体" w:hAnsi="黑体" w:eastAsia="黑体" w:cs="黑体"/>
                <w:spacing w:val="18"/>
                <w:sz w:val="20"/>
                <w:szCs w:val="20"/>
              </w:rPr>
              <w:t>总</w:t>
            </w:r>
            <w:r>
              <w:rPr>
                <w:rFonts w:ascii="黑体" w:hAnsi="黑体" w:eastAsia="黑体" w:cs="黑体"/>
                <w:spacing w:val="17"/>
                <w:sz w:val="20"/>
                <w:szCs w:val="20"/>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89"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451"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600"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91"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461"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648"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650"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636"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426" w:type="dxa"/>
            <w:vAlign w:val="top"/>
          </w:tcPr>
          <w:p>
            <w:pPr>
              <w:jc w:val="center"/>
              <w:rPr>
                <w:rFonts w:hint="eastAsia" w:eastAsia="宋体"/>
                <w:sz w:val="21"/>
                <w:lang w:val="en-US" w:eastAsia="zh-CN"/>
              </w:rPr>
            </w:pPr>
          </w:p>
          <w:p>
            <w:pPr>
              <w:jc w:val="center"/>
              <w:rPr>
                <w:rFonts w:hint="eastAsia" w:eastAsia="宋体"/>
                <w:sz w:val="21"/>
                <w:lang w:val="en-US" w:eastAsia="zh-CN"/>
              </w:rPr>
            </w:pPr>
            <w:r>
              <w:rPr>
                <w:rFonts w:hint="eastAsia" w:eastAsia="宋体"/>
                <w:sz w:val="21"/>
                <w:lang w:val="en-US" w:eastAsia="zh-CN"/>
              </w:rPr>
              <w:t>0</w:t>
            </w:r>
          </w:p>
          <w:p>
            <w:pPr>
              <w:jc w:val="center"/>
              <w:rPr>
                <w:rFonts w:hint="eastAsia" w:eastAsia="宋体"/>
                <w:sz w:val="21"/>
                <w:lang w:val="en-US" w:eastAsia="zh-CN"/>
              </w:rPr>
            </w:pPr>
          </w:p>
        </w:tc>
        <w:tc>
          <w:tcPr>
            <w:tcW w:w="649"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555"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c>
          <w:tcPr>
            <w:tcW w:w="411" w:type="dxa"/>
            <w:vAlign w:val="top"/>
          </w:tcPr>
          <w:p>
            <w:pPr>
              <w:jc w:val="center"/>
              <w:rPr>
                <w:rFonts w:hint="eastAsia" w:eastAsia="宋体"/>
                <w:sz w:val="21"/>
                <w:lang w:val="en-US" w:eastAsia="zh-CN"/>
              </w:rPr>
            </w:pPr>
          </w:p>
          <w:p>
            <w:pPr>
              <w:jc w:val="center"/>
              <w:rPr>
                <w:rFonts w:hint="eastAsia" w:ascii="Arial" w:eastAsia="宋体"/>
                <w:sz w:val="21"/>
                <w:lang w:val="en-US" w:eastAsia="zh-CN"/>
              </w:rPr>
            </w:pPr>
            <w:r>
              <w:rPr>
                <w:rFonts w:hint="eastAsia" w:eastAsia="宋体"/>
                <w:sz w:val="21"/>
                <w:lang w:val="en-US" w:eastAsia="zh-CN"/>
              </w:rPr>
              <w:t>0</w:t>
            </w:r>
          </w:p>
        </w:tc>
      </w:tr>
    </w:tbl>
    <w:p>
      <w:pPr>
        <w:spacing w:before="199" w:line="227" w:lineRule="auto"/>
        <w:ind w:left="692"/>
        <w:rPr>
          <w:rFonts w:ascii="黑体" w:hAnsi="黑体" w:eastAsia="黑体" w:cs="黑体"/>
          <w:sz w:val="31"/>
          <w:szCs w:val="31"/>
        </w:rPr>
      </w:pPr>
      <w:r>
        <w:rPr>
          <w:rFonts w:ascii="黑体" w:hAnsi="黑体" w:eastAsia="黑体" w:cs="黑体"/>
          <w:spacing w:val="4"/>
          <w:sz w:val="31"/>
          <w:szCs w:val="31"/>
        </w:rPr>
        <w:t>五</w:t>
      </w:r>
      <w:r>
        <w:rPr>
          <w:rFonts w:ascii="黑体" w:hAnsi="黑体" w:eastAsia="黑体" w:cs="黑体"/>
          <w:spacing w:val="3"/>
          <w:sz w:val="31"/>
          <w:szCs w:val="31"/>
        </w:rPr>
        <w:t>、</w:t>
      </w:r>
      <w:r>
        <w:rPr>
          <w:rFonts w:ascii="黑体" w:hAnsi="黑体" w:eastAsia="黑体" w:cs="黑体"/>
          <w:spacing w:val="2"/>
          <w:sz w:val="31"/>
          <w:szCs w:val="31"/>
        </w:rPr>
        <w:t>存在的主要问题及改进情况</w:t>
      </w:r>
    </w:p>
    <w:p>
      <w:pPr>
        <w:spacing w:before="100" w:line="351" w:lineRule="auto"/>
        <w:ind w:left="5" w:firstLine="616"/>
        <w:jc w:val="both"/>
        <w:rPr>
          <w:rFonts w:hint="default" w:ascii="仿宋" w:hAnsi="仿宋" w:eastAsia="仿宋" w:cs="仿宋"/>
          <w:i w:val="0"/>
          <w:caps w:val="0"/>
          <w:snapToGrid/>
          <w:color w:val="000000"/>
          <w:spacing w:val="0"/>
          <w:kern w:val="2"/>
          <w:sz w:val="32"/>
          <w:szCs w:val="32"/>
          <w:shd w:val="clear" w:color="auto" w:fill="FFFFFF"/>
          <w:lang w:val="en-US" w:eastAsia="zh-CN" w:bidi="ar-SA"/>
        </w:rPr>
      </w:pPr>
      <w:r>
        <w:rPr>
          <w:rFonts w:hint="default" w:ascii="仿宋" w:hAnsi="仿宋" w:eastAsia="仿宋" w:cs="仿宋"/>
          <w:i w:val="0"/>
          <w:caps w:val="0"/>
          <w:snapToGrid/>
          <w:color w:val="000000"/>
          <w:spacing w:val="0"/>
          <w:kern w:val="2"/>
          <w:sz w:val="32"/>
          <w:szCs w:val="32"/>
          <w:shd w:val="clear" w:color="auto" w:fill="FFFFFF"/>
          <w:lang w:val="en-US" w:eastAsia="zh-CN" w:bidi="ar-SA"/>
        </w:rPr>
        <w:t>2022年，微山县微山岛旅游度假区管理服务中心的政府信息公开工作稳步推进，取得了一定成效，但仍存在着政府信息公开力度有待加强，公开内容有待深化等问题。下一步，我们将按照县政府</w:t>
      </w:r>
      <w:r>
        <w:rPr>
          <w:rFonts w:hint="eastAsia" w:ascii="仿宋" w:hAnsi="仿宋" w:eastAsia="仿宋" w:cs="仿宋"/>
          <w:i w:val="0"/>
          <w:caps w:val="0"/>
          <w:snapToGrid/>
          <w:color w:val="000000"/>
          <w:spacing w:val="0"/>
          <w:kern w:val="2"/>
          <w:sz w:val="32"/>
          <w:szCs w:val="32"/>
          <w:shd w:val="clear" w:color="auto" w:fill="FFFFFF"/>
          <w:lang w:val="en-US" w:eastAsia="zh-CN" w:bidi="ar-SA"/>
        </w:rPr>
        <w:t>办公室</w:t>
      </w:r>
      <w:r>
        <w:rPr>
          <w:rFonts w:hint="default" w:ascii="仿宋" w:hAnsi="仿宋" w:eastAsia="仿宋" w:cs="仿宋"/>
          <w:i w:val="0"/>
          <w:caps w:val="0"/>
          <w:snapToGrid/>
          <w:color w:val="000000"/>
          <w:spacing w:val="0"/>
          <w:kern w:val="2"/>
          <w:sz w:val="32"/>
          <w:szCs w:val="32"/>
          <w:shd w:val="clear" w:color="auto" w:fill="FFFFFF"/>
          <w:lang w:val="en-US" w:eastAsia="zh-CN" w:bidi="ar-SA"/>
        </w:rPr>
        <w:t>推进政务公开工作的部署要求，完善工作制度、细化工作措施，不断提升政府信息公开工作水平。</w:t>
      </w:r>
    </w:p>
    <w:p>
      <w:pPr>
        <w:spacing w:before="100" w:line="351" w:lineRule="auto"/>
        <w:ind w:left="5" w:firstLine="616"/>
        <w:jc w:val="both"/>
        <w:rPr>
          <w:rFonts w:hint="eastAsia" w:ascii="仿宋" w:hAnsi="仿宋" w:eastAsia="仿宋" w:cs="仿宋"/>
          <w:i w:val="0"/>
          <w:caps w:val="0"/>
          <w:snapToGrid/>
          <w:color w:val="000000"/>
          <w:spacing w:val="0"/>
          <w:kern w:val="2"/>
          <w:sz w:val="32"/>
          <w:szCs w:val="32"/>
          <w:shd w:val="clear" w:color="auto" w:fill="FFFFFF"/>
          <w:lang w:val="en-US" w:eastAsia="zh-CN" w:bidi="ar-SA"/>
        </w:rPr>
      </w:pPr>
      <w:r>
        <w:rPr>
          <w:rFonts w:hint="eastAsia" w:ascii="仿宋" w:hAnsi="仿宋" w:eastAsia="仿宋" w:cs="仿宋"/>
          <w:i w:val="0"/>
          <w:caps w:val="0"/>
          <w:snapToGrid/>
          <w:color w:val="000000"/>
          <w:spacing w:val="0"/>
          <w:kern w:val="2"/>
          <w:sz w:val="32"/>
          <w:szCs w:val="32"/>
          <w:shd w:val="clear" w:color="auto" w:fill="FFFFFF"/>
          <w:lang w:val="en-US" w:eastAsia="zh-CN" w:bidi="ar-SA"/>
        </w:rPr>
        <w:t>一是进一步明确工作职责，完善信息公开制度，按照县委、县政府关于推进政务公开工作的部署要求，紧密结合本单位工作实际，制定单位年度工作要点、实施方案等制度，全力推进行政决策公开、执行公开、管理公开、服务公开和结果公开，不断提高信息公开力度。二是</w:t>
      </w:r>
      <w:r>
        <w:rPr>
          <w:rFonts w:hint="default" w:ascii="仿宋" w:hAnsi="仿宋" w:eastAsia="仿宋" w:cs="仿宋"/>
          <w:i w:val="0"/>
          <w:caps w:val="0"/>
          <w:snapToGrid/>
          <w:color w:val="000000"/>
          <w:spacing w:val="0"/>
          <w:kern w:val="2"/>
          <w:sz w:val="32"/>
          <w:szCs w:val="32"/>
          <w:shd w:val="clear" w:color="auto" w:fill="FFFFFF"/>
          <w:lang w:val="en-US" w:eastAsia="zh-CN" w:bidi="ar-SA"/>
        </w:rPr>
        <w:t>将持续开展政务公开业务培训，在政务新媒体运营管理、政府信息依申请公开处理流程、工作要求等方面加大培训力度，全面</w:t>
      </w:r>
      <w:r>
        <w:rPr>
          <w:rFonts w:hint="eastAsia" w:ascii="仿宋" w:hAnsi="仿宋" w:eastAsia="仿宋" w:cs="仿宋"/>
          <w:i w:val="0"/>
          <w:caps w:val="0"/>
          <w:snapToGrid/>
          <w:color w:val="000000"/>
          <w:spacing w:val="0"/>
          <w:kern w:val="2"/>
          <w:sz w:val="32"/>
          <w:szCs w:val="32"/>
          <w:shd w:val="clear" w:color="auto" w:fill="FFFFFF"/>
          <w:lang w:val="en-US" w:eastAsia="zh-CN" w:bidi="ar-SA"/>
        </w:rPr>
        <w:t>提升信息公开工作人员的工作水平，最大限度地发挥政府门户网站的作用，为群众提供公开、透明、高效的社会公共服务。三是提升信息公开时效性，及时进行更新维护，加强对微信、微博等新媒体的学习，创新政务公开的公开形式。</w:t>
      </w:r>
    </w:p>
    <w:p>
      <w:pPr>
        <w:spacing w:line="227" w:lineRule="auto"/>
        <w:ind w:left="693"/>
        <w:rPr>
          <w:rFonts w:ascii="黑体" w:hAnsi="黑体" w:eastAsia="黑体" w:cs="黑体"/>
          <w:sz w:val="31"/>
          <w:szCs w:val="31"/>
        </w:rPr>
      </w:pPr>
      <w:r>
        <w:rPr>
          <w:rFonts w:ascii="黑体" w:hAnsi="黑体" w:eastAsia="黑体" w:cs="黑体"/>
          <w:spacing w:val="2"/>
          <w:sz w:val="31"/>
          <w:szCs w:val="31"/>
        </w:rPr>
        <w:t>六、其他需要报</w:t>
      </w:r>
      <w:r>
        <w:rPr>
          <w:rFonts w:ascii="黑体" w:hAnsi="黑体" w:eastAsia="黑体" w:cs="黑体"/>
          <w:spacing w:val="1"/>
          <w:sz w:val="31"/>
          <w:szCs w:val="31"/>
        </w:rPr>
        <w:t>告的事项</w:t>
      </w:r>
    </w:p>
    <w:p>
      <w:pPr>
        <w:spacing w:before="100" w:line="351" w:lineRule="auto"/>
        <w:ind w:left="5" w:firstLine="616"/>
        <w:jc w:val="both"/>
        <w:rPr>
          <w:rFonts w:hint="default" w:ascii="仿宋" w:hAnsi="仿宋" w:eastAsia="仿宋" w:cs="仿宋"/>
          <w:i w:val="0"/>
          <w:caps w:val="0"/>
          <w:snapToGrid/>
          <w:color w:val="000000"/>
          <w:spacing w:val="0"/>
          <w:kern w:val="2"/>
          <w:sz w:val="32"/>
          <w:szCs w:val="32"/>
          <w:shd w:val="clear" w:color="auto" w:fill="FFFFFF"/>
          <w:lang w:val="en-US" w:eastAsia="zh-CN" w:bidi="ar-SA"/>
        </w:rPr>
      </w:pPr>
      <w:r>
        <w:rPr>
          <w:rFonts w:hint="eastAsia" w:ascii="仿宋" w:hAnsi="仿宋" w:eastAsia="仿宋" w:cs="仿宋"/>
          <w:i w:val="0"/>
          <w:caps w:val="0"/>
          <w:snapToGrid/>
          <w:color w:val="000000"/>
          <w:spacing w:val="0"/>
          <w:kern w:val="2"/>
          <w:sz w:val="32"/>
          <w:szCs w:val="32"/>
          <w:shd w:val="clear" w:color="auto" w:fill="FFFFFF"/>
          <w:lang w:val="en-US" w:eastAsia="zh-CN" w:bidi="ar-SA"/>
        </w:rPr>
        <w:t>（一）</w:t>
      </w:r>
      <w:r>
        <w:rPr>
          <w:rFonts w:hint="default" w:ascii="仿宋" w:hAnsi="仿宋" w:eastAsia="仿宋" w:cs="仿宋"/>
          <w:i w:val="0"/>
          <w:caps w:val="0"/>
          <w:snapToGrid/>
          <w:color w:val="000000"/>
          <w:spacing w:val="0"/>
          <w:kern w:val="2"/>
          <w:sz w:val="32"/>
          <w:szCs w:val="32"/>
          <w:shd w:val="clear" w:color="auto" w:fill="FFFFFF"/>
          <w:lang w:val="en-US" w:eastAsia="zh-CN" w:bidi="ar-SA"/>
        </w:rPr>
        <w:t>依据《政府信息公开信息处理费管理办法》收取信息处理费的情况</w:t>
      </w:r>
    </w:p>
    <w:p>
      <w:pPr>
        <w:spacing w:before="100" w:line="351" w:lineRule="auto"/>
        <w:ind w:left="5" w:firstLine="616"/>
        <w:jc w:val="both"/>
        <w:rPr>
          <w:rFonts w:hint="default" w:ascii="仿宋" w:hAnsi="仿宋" w:eastAsia="仿宋" w:cs="仿宋"/>
          <w:i w:val="0"/>
          <w:caps w:val="0"/>
          <w:snapToGrid/>
          <w:color w:val="000000"/>
          <w:spacing w:val="0"/>
          <w:kern w:val="2"/>
          <w:sz w:val="32"/>
          <w:szCs w:val="32"/>
          <w:shd w:val="clear" w:color="auto" w:fill="FFFFFF"/>
          <w:lang w:val="en-US" w:eastAsia="zh-CN" w:bidi="ar-SA"/>
        </w:rPr>
      </w:pPr>
      <w:r>
        <w:rPr>
          <w:rFonts w:hint="default" w:ascii="仿宋" w:hAnsi="仿宋" w:eastAsia="仿宋" w:cs="仿宋"/>
          <w:i w:val="0"/>
          <w:caps w:val="0"/>
          <w:snapToGrid/>
          <w:color w:val="000000"/>
          <w:spacing w:val="0"/>
          <w:kern w:val="2"/>
          <w:sz w:val="32"/>
          <w:szCs w:val="32"/>
          <w:shd w:val="clear" w:color="auto" w:fill="FFFFFF"/>
          <w:lang w:val="en-US" w:eastAsia="zh-CN" w:bidi="ar-SA"/>
        </w:rPr>
        <w:t>2022年，我单位未产生政府信息公开信息处理费用。</w:t>
      </w:r>
    </w:p>
    <w:p>
      <w:pPr>
        <w:spacing w:before="100" w:line="351" w:lineRule="auto"/>
        <w:ind w:left="5" w:firstLine="616"/>
        <w:jc w:val="both"/>
        <w:rPr>
          <w:rFonts w:hint="default" w:ascii="仿宋" w:hAnsi="仿宋" w:eastAsia="仿宋" w:cs="仿宋"/>
          <w:i w:val="0"/>
          <w:caps w:val="0"/>
          <w:snapToGrid/>
          <w:color w:val="000000"/>
          <w:spacing w:val="0"/>
          <w:kern w:val="2"/>
          <w:sz w:val="32"/>
          <w:szCs w:val="32"/>
          <w:shd w:val="clear" w:color="auto" w:fill="FFFFFF"/>
          <w:lang w:val="en-US" w:eastAsia="zh-CN" w:bidi="ar-SA"/>
        </w:rPr>
      </w:pPr>
      <w:r>
        <w:rPr>
          <w:rFonts w:hint="default" w:ascii="仿宋" w:hAnsi="仿宋" w:eastAsia="仿宋" w:cs="仿宋"/>
          <w:i w:val="0"/>
          <w:caps w:val="0"/>
          <w:snapToGrid/>
          <w:color w:val="000000"/>
          <w:spacing w:val="0"/>
          <w:kern w:val="2"/>
          <w:sz w:val="32"/>
          <w:szCs w:val="32"/>
          <w:shd w:val="clear" w:color="auto" w:fill="FFFFFF"/>
          <w:lang w:val="en-US" w:eastAsia="zh-CN" w:bidi="ar-SA"/>
        </w:rPr>
        <w:t>（二）本行政机关落实上级年度政务公开工作要点情况</w:t>
      </w:r>
    </w:p>
    <w:p>
      <w:pPr>
        <w:spacing w:before="100" w:line="351" w:lineRule="auto"/>
        <w:ind w:left="5" w:firstLine="616"/>
        <w:jc w:val="both"/>
        <w:rPr>
          <w:rFonts w:hint="eastAsia" w:ascii="仿宋" w:hAnsi="仿宋" w:eastAsia="仿宋" w:cs="仿宋"/>
          <w:i w:val="0"/>
          <w:caps w:val="0"/>
          <w:snapToGrid/>
          <w:color w:val="000000"/>
          <w:spacing w:val="0"/>
          <w:kern w:val="2"/>
          <w:sz w:val="32"/>
          <w:szCs w:val="32"/>
          <w:shd w:val="clear" w:color="auto" w:fill="FFFFFF"/>
          <w:lang w:val="en-US" w:eastAsia="zh-CN" w:bidi="ar-SA"/>
        </w:rPr>
      </w:pPr>
      <w:r>
        <w:rPr>
          <w:rFonts w:hint="default" w:ascii="仿宋" w:hAnsi="仿宋" w:eastAsia="仿宋" w:cs="仿宋"/>
          <w:i w:val="0"/>
          <w:caps w:val="0"/>
          <w:snapToGrid/>
          <w:color w:val="000000"/>
          <w:spacing w:val="0"/>
          <w:kern w:val="2"/>
          <w:sz w:val="32"/>
          <w:szCs w:val="32"/>
          <w:shd w:val="clear" w:color="auto" w:fill="FFFFFF"/>
          <w:lang w:val="en-US" w:eastAsia="zh-CN" w:bidi="ar-SA"/>
        </w:rPr>
        <w:t>2022年，我单位认真落实上级政务公开工作要点，将政务信息公开工作纳入本单位的重点工作计划中，进一步完善领导机制，成立政务公开领导小组，领导小组下设办公室，办公室负责政务公开具体落实工作。统筹推进政务公开工作，完善政务公开相关工作制度，明确相关职责，确定专人负责信息发布，确保政务公开工作的顺利开展。始终把制度建设贵穿于政务公开工作全过程，注重强化信息公开法规学习和内容审核，使工作人员明确了解政务公开的主体和原则、范围和内容、方式和程序、监督和保障等，增强了贯彻落实的自觉性、主动性，</w:t>
      </w:r>
      <w:r>
        <w:rPr>
          <w:rFonts w:hint="eastAsia" w:ascii="仿宋" w:hAnsi="仿宋" w:eastAsia="仿宋" w:cs="仿宋"/>
          <w:i w:val="0"/>
          <w:caps w:val="0"/>
          <w:snapToGrid/>
          <w:color w:val="000000"/>
          <w:spacing w:val="0"/>
          <w:kern w:val="2"/>
          <w:sz w:val="32"/>
          <w:szCs w:val="32"/>
          <w:shd w:val="clear" w:color="auto" w:fill="FFFFFF"/>
          <w:lang w:val="en-US" w:eastAsia="zh-CN" w:bidi="ar-SA"/>
        </w:rPr>
        <w:t>全面确保政务公开工作落到实处。</w:t>
      </w:r>
    </w:p>
    <w:p>
      <w:pPr>
        <w:spacing w:before="100" w:line="351" w:lineRule="auto"/>
        <w:ind w:left="5" w:firstLine="616"/>
        <w:jc w:val="both"/>
        <w:rPr>
          <w:rFonts w:hint="eastAsia" w:ascii="仿宋" w:hAnsi="仿宋" w:eastAsia="仿宋" w:cs="仿宋"/>
          <w:i w:val="0"/>
          <w:caps w:val="0"/>
          <w:snapToGrid/>
          <w:color w:val="000000"/>
          <w:spacing w:val="0"/>
          <w:kern w:val="2"/>
          <w:sz w:val="32"/>
          <w:szCs w:val="32"/>
          <w:shd w:val="clear" w:color="auto" w:fill="FFFFFF"/>
          <w:lang w:val="en-US" w:eastAsia="zh-CN" w:bidi="ar-SA"/>
        </w:rPr>
      </w:pPr>
      <w:r>
        <w:rPr>
          <w:rFonts w:hint="eastAsia" w:ascii="仿宋" w:hAnsi="仿宋" w:eastAsia="仿宋" w:cs="仿宋"/>
          <w:i w:val="0"/>
          <w:caps w:val="0"/>
          <w:snapToGrid/>
          <w:color w:val="000000"/>
          <w:spacing w:val="0"/>
          <w:kern w:val="2"/>
          <w:sz w:val="32"/>
          <w:szCs w:val="32"/>
          <w:shd w:val="clear" w:color="auto" w:fill="FFFFFF"/>
          <w:lang w:val="en-US" w:eastAsia="zh-CN" w:bidi="ar-SA"/>
        </w:rPr>
        <w:t>（三）</w:t>
      </w:r>
      <w:r>
        <w:rPr>
          <w:rFonts w:hint="default" w:ascii="仿宋" w:hAnsi="仿宋" w:eastAsia="仿宋" w:cs="仿宋"/>
          <w:i w:val="0"/>
          <w:caps w:val="0"/>
          <w:snapToGrid/>
          <w:color w:val="000000"/>
          <w:spacing w:val="0"/>
          <w:kern w:val="2"/>
          <w:sz w:val="32"/>
          <w:szCs w:val="32"/>
          <w:shd w:val="clear" w:color="auto" w:fill="FFFFFF"/>
          <w:lang w:val="en-US" w:eastAsia="zh-CN" w:bidi="ar-SA"/>
        </w:rPr>
        <w:t>本行政机关人大代表建议和政协提案办理结果公开情况</w:t>
      </w:r>
    </w:p>
    <w:p>
      <w:pPr>
        <w:spacing w:before="100" w:line="351" w:lineRule="auto"/>
        <w:ind w:left="5" w:firstLine="616"/>
        <w:jc w:val="both"/>
        <w:rPr>
          <w:rFonts w:hint="eastAsia" w:ascii="仿宋" w:hAnsi="仿宋" w:eastAsia="仿宋" w:cs="仿宋"/>
          <w:i w:val="0"/>
          <w:caps w:val="0"/>
          <w:snapToGrid/>
          <w:color w:val="000000"/>
          <w:spacing w:val="0"/>
          <w:kern w:val="2"/>
          <w:sz w:val="32"/>
          <w:szCs w:val="32"/>
          <w:shd w:val="clear" w:color="auto" w:fill="FFFFFF"/>
          <w:lang w:val="en-US" w:eastAsia="zh-CN" w:bidi="ar-SA"/>
        </w:rPr>
      </w:pPr>
      <w:r>
        <w:rPr>
          <w:rFonts w:hint="default" w:ascii="仿宋" w:hAnsi="仿宋" w:eastAsia="仿宋" w:cs="仿宋"/>
          <w:i w:val="0"/>
          <w:caps w:val="0"/>
          <w:snapToGrid/>
          <w:color w:val="000000"/>
          <w:spacing w:val="0"/>
          <w:kern w:val="2"/>
          <w:sz w:val="32"/>
          <w:szCs w:val="32"/>
          <w:shd w:val="clear" w:color="auto" w:fill="FFFFFF"/>
          <w:lang w:val="en-US" w:eastAsia="zh-CN" w:bidi="ar-SA"/>
        </w:rPr>
        <w:t>2022年，我单位共收到人大建议2件、政协提案1件，所有建议、议案均在规定期限内办复完毕，办复率100%，满意和基本满意率100%</w:t>
      </w:r>
      <w:r>
        <w:rPr>
          <w:rFonts w:hint="eastAsia" w:ascii="仿宋" w:hAnsi="仿宋" w:eastAsia="仿宋" w:cs="仿宋"/>
          <w:i w:val="0"/>
          <w:caps w:val="0"/>
          <w:snapToGrid/>
          <w:color w:val="000000"/>
          <w:spacing w:val="0"/>
          <w:kern w:val="2"/>
          <w:sz w:val="32"/>
          <w:szCs w:val="32"/>
          <w:shd w:val="clear" w:color="auto" w:fill="FFFFFF"/>
          <w:lang w:val="en-US" w:eastAsia="zh-CN" w:bidi="ar-SA"/>
        </w:rPr>
        <w:t>。</w:t>
      </w:r>
    </w:p>
    <w:p>
      <w:pPr>
        <w:spacing w:before="100" w:line="351" w:lineRule="auto"/>
        <w:ind w:left="5" w:firstLine="616"/>
        <w:jc w:val="both"/>
        <w:rPr>
          <w:rFonts w:hint="default" w:ascii="仿宋" w:hAnsi="仿宋" w:eastAsia="仿宋" w:cs="仿宋"/>
          <w:i w:val="0"/>
          <w:caps w:val="0"/>
          <w:snapToGrid/>
          <w:color w:val="000000"/>
          <w:spacing w:val="0"/>
          <w:kern w:val="2"/>
          <w:sz w:val="32"/>
          <w:szCs w:val="32"/>
          <w:shd w:val="clear" w:color="auto" w:fill="FFFFFF"/>
          <w:lang w:val="en-US" w:eastAsia="zh-CN" w:bidi="ar-SA"/>
        </w:rPr>
      </w:pPr>
      <w:r>
        <w:rPr>
          <w:rFonts w:hint="eastAsia" w:ascii="仿宋" w:hAnsi="仿宋" w:eastAsia="仿宋" w:cs="仿宋"/>
          <w:i w:val="0"/>
          <w:caps w:val="0"/>
          <w:snapToGrid/>
          <w:color w:val="000000"/>
          <w:spacing w:val="0"/>
          <w:kern w:val="2"/>
          <w:sz w:val="32"/>
          <w:szCs w:val="32"/>
          <w:shd w:val="clear" w:color="auto" w:fill="FFFFFF"/>
          <w:lang w:val="en-US" w:eastAsia="zh-CN" w:bidi="ar-SA"/>
        </w:rPr>
        <w:t>（四）</w:t>
      </w:r>
      <w:r>
        <w:rPr>
          <w:rFonts w:hint="default" w:ascii="仿宋" w:hAnsi="仿宋" w:eastAsia="仿宋" w:cs="仿宋"/>
          <w:i w:val="0"/>
          <w:caps w:val="0"/>
          <w:snapToGrid/>
          <w:color w:val="000000"/>
          <w:spacing w:val="0"/>
          <w:kern w:val="2"/>
          <w:sz w:val="32"/>
          <w:szCs w:val="32"/>
          <w:shd w:val="clear" w:color="auto" w:fill="FFFFFF"/>
          <w:lang w:val="en-US" w:eastAsia="zh-CN" w:bidi="ar-SA"/>
        </w:rPr>
        <w:t>本行政机关年度政务公开工作创新情况</w:t>
      </w:r>
    </w:p>
    <w:p>
      <w:pPr>
        <w:spacing w:before="100" w:line="351" w:lineRule="auto"/>
        <w:ind w:left="5" w:firstLine="616"/>
        <w:jc w:val="both"/>
        <w:rPr>
          <w:rFonts w:hint="default" w:ascii="仿宋" w:hAnsi="仿宋" w:eastAsia="仿宋" w:cs="仿宋"/>
          <w:i w:val="0"/>
          <w:caps w:val="0"/>
          <w:snapToGrid/>
          <w:color w:val="000000"/>
          <w:spacing w:val="0"/>
          <w:kern w:val="2"/>
          <w:sz w:val="32"/>
          <w:szCs w:val="32"/>
          <w:shd w:val="clear" w:color="auto" w:fill="FFFFFF"/>
          <w:lang w:val="en-US" w:eastAsia="zh-CN" w:bidi="ar-SA"/>
        </w:rPr>
      </w:pPr>
      <w:r>
        <w:rPr>
          <w:rFonts w:hint="eastAsia" w:ascii="仿宋" w:hAnsi="仿宋" w:eastAsia="仿宋" w:cs="仿宋"/>
          <w:i w:val="0"/>
          <w:caps w:val="0"/>
          <w:snapToGrid/>
          <w:color w:val="000000"/>
          <w:spacing w:val="0"/>
          <w:kern w:val="2"/>
          <w:sz w:val="32"/>
          <w:szCs w:val="32"/>
          <w:shd w:val="clear" w:color="auto" w:fill="FFFFFF"/>
          <w:lang w:val="en-US" w:eastAsia="zh-CN" w:bidi="ar-SA"/>
        </w:rPr>
        <w:t>无。</w:t>
      </w:r>
    </w:p>
    <w:p>
      <w:pPr>
        <w:spacing w:before="100" w:line="351" w:lineRule="auto"/>
        <w:ind w:left="5" w:firstLine="616"/>
        <w:jc w:val="both"/>
        <w:rPr>
          <w:rFonts w:hint="eastAsia" w:ascii="仿宋" w:hAnsi="仿宋" w:eastAsia="仿宋" w:cs="仿宋"/>
          <w:i w:val="0"/>
          <w:caps w:val="0"/>
          <w:snapToGrid/>
          <w:color w:val="000000"/>
          <w:spacing w:val="0"/>
          <w:kern w:val="2"/>
          <w:sz w:val="32"/>
          <w:szCs w:val="32"/>
          <w:shd w:val="clear" w:color="auto" w:fill="FFFFFF"/>
          <w:lang w:val="en-US" w:eastAsia="zh-CN" w:bidi="ar-SA"/>
        </w:rPr>
      </w:pPr>
      <w:r>
        <w:rPr>
          <w:rFonts w:hint="eastAsia" w:ascii="仿宋" w:hAnsi="仿宋" w:eastAsia="仿宋" w:cs="仿宋"/>
          <w:i w:val="0"/>
          <w:caps w:val="0"/>
          <w:snapToGrid/>
          <w:color w:val="000000"/>
          <w:spacing w:val="0"/>
          <w:kern w:val="2"/>
          <w:sz w:val="32"/>
          <w:szCs w:val="32"/>
          <w:shd w:val="clear" w:color="auto" w:fill="FFFFFF"/>
          <w:lang w:val="en-US" w:eastAsia="zh-CN" w:bidi="ar-SA"/>
        </w:rPr>
        <w:t>（五）本行政机关政府信息公开工作年度报告数据统计需要说明的事项</w:t>
      </w:r>
    </w:p>
    <w:p>
      <w:pPr>
        <w:spacing w:before="100" w:line="351" w:lineRule="auto"/>
        <w:ind w:left="5" w:firstLine="616"/>
        <w:jc w:val="both"/>
        <w:rPr>
          <w:rFonts w:hint="default" w:ascii="仿宋" w:hAnsi="仿宋" w:eastAsia="仿宋" w:cs="仿宋"/>
          <w:i w:val="0"/>
          <w:caps w:val="0"/>
          <w:snapToGrid/>
          <w:color w:val="000000"/>
          <w:spacing w:val="0"/>
          <w:kern w:val="2"/>
          <w:sz w:val="32"/>
          <w:szCs w:val="32"/>
          <w:shd w:val="clear" w:color="auto" w:fill="FFFFFF"/>
          <w:lang w:val="en-US" w:eastAsia="zh-CN" w:bidi="ar-SA"/>
        </w:rPr>
      </w:pPr>
      <w:r>
        <w:rPr>
          <w:rFonts w:hint="eastAsia" w:ascii="仿宋" w:hAnsi="仿宋" w:eastAsia="仿宋" w:cs="仿宋"/>
          <w:i w:val="0"/>
          <w:caps w:val="0"/>
          <w:snapToGrid/>
          <w:color w:val="000000"/>
          <w:spacing w:val="0"/>
          <w:kern w:val="2"/>
          <w:sz w:val="32"/>
          <w:szCs w:val="32"/>
          <w:shd w:val="clear" w:color="auto" w:fill="FFFFFF"/>
          <w:lang w:val="en-US" w:eastAsia="zh-CN" w:bidi="ar-SA"/>
        </w:rPr>
        <w:t>无。</w:t>
      </w:r>
    </w:p>
    <w:p>
      <w:pPr>
        <w:spacing w:before="100" w:line="351" w:lineRule="auto"/>
        <w:ind w:left="5" w:firstLine="616"/>
        <w:jc w:val="both"/>
        <w:rPr>
          <w:rFonts w:hint="eastAsia" w:ascii="仿宋" w:hAnsi="仿宋" w:eastAsia="仿宋" w:cs="仿宋"/>
          <w:i w:val="0"/>
          <w:caps w:val="0"/>
          <w:snapToGrid/>
          <w:color w:val="000000"/>
          <w:spacing w:val="0"/>
          <w:kern w:val="2"/>
          <w:sz w:val="32"/>
          <w:szCs w:val="32"/>
          <w:shd w:val="clear" w:color="auto" w:fill="FFFFFF"/>
          <w:lang w:val="en-US" w:eastAsia="zh-CN" w:bidi="ar-SA"/>
        </w:rPr>
      </w:pPr>
      <w:r>
        <w:rPr>
          <w:rFonts w:hint="eastAsia" w:ascii="仿宋" w:hAnsi="仿宋" w:eastAsia="仿宋" w:cs="仿宋"/>
          <w:i w:val="0"/>
          <w:caps w:val="0"/>
          <w:snapToGrid/>
          <w:color w:val="000000"/>
          <w:spacing w:val="0"/>
          <w:kern w:val="2"/>
          <w:sz w:val="32"/>
          <w:szCs w:val="32"/>
          <w:shd w:val="clear" w:color="auto" w:fill="FFFFFF"/>
          <w:lang w:val="en-US" w:eastAsia="zh-CN" w:bidi="ar-SA"/>
        </w:rPr>
        <w:t>（六）本行政机关认为需要报告的其他事项</w:t>
      </w:r>
    </w:p>
    <w:p>
      <w:pPr>
        <w:spacing w:before="100" w:line="351" w:lineRule="auto"/>
        <w:ind w:left="5" w:firstLine="616"/>
        <w:jc w:val="both"/>
        <w:rPr>
          <w:rFonts w:hint="default" w:ascii="仿宋" w:hAnsi="仿宋" w:eastAsia="仿宋" w:cs="仿宋"/>
          <w:i w:val="0"/>
          <w:caps w:val="0"/>
          <w:snapToGrid/>
          <w:color w:val="000000"/>
          <w:spacing w:val="0"/>
          <w:kern w:val="2"/>
          <w:sz w:val="32"/>
          <w:szCs w:val="32"/>
          <w:shd w:val="clear" w:color="auto" w:fill="FFFFFF"/>
          <w:lang w:val="en-US" w:eastAsia="zh-CN" w:bidi="ar-SA"/>
        </w:rPr>
      </w:pPr>
      <w:r>
        <w:rPr>
          <w:rFonts w:hint="eastAsia" w:ascii="仿宋" w:hAnsi="仿宋" w:eastAsia="仿宋" w:cs="仿宋"/>
          <w:i w:val="0"/>
          <w:caps w:val="0"/>
          <w:snapToGrid/>
          <w:color w:val="000000"/>
          <w:spacing w:val="0"/>
          <w:kern w:val="2"/>
          <w:sz w:val="32"/>
          <w:szCs w:val="32"/>
          <w:shd w:val="clear" w:color="auto" w:fill="FFFFFF"/>
          <w:lang w:val="en-US" w:eastAsia="zh-CN" w:bidi="ar-SA"/>
        </w:rPr>
        <w:t>无。</w:t>
      </w:r>
    </w:p>
    <w:p>
      <w:pPr>
        <w:spacing w:before="100" w:line="351" w:lineRule="auto"/>
        <w:ind w:left="5" w:firstLine="616"/>
        <w:jc w:val="both"/>
        <w:rPr>
          <w:rFonts w:hint="eastAsia" w:ascii="仿宋" w:hAnsi="仿宋" w:eastAsia="仿宋" w:cs="仿宋"/>
          <w:i w:val="0"/>
          <w:caps w:val="0"/>
          <w:snapToGrid/>
          <w:color w:val="000000"/>
          <w:spacing w:val="0"/>
          <w:kern w:val="2"/>
          <w:sz w:val="32"/>
          <w:szCs w:val="32"/>
          <w:shd w:val="clear" w:color="auto" w:fill="FFFFFF"/>
          <w:lang w:val="en-US" w:eastAsia="zh-CN" w:bidi="ar-SA"/>
        </w:rPr>
      </w:pPr>
      <w:r>
        <w:rPr>
          <w:rFonts w:hint="eastAsia" w:ascii="仿宋" w:hAnsi="仿宋" w:eastAsia="仿宋" w:cs="仿宋"/>
          <w:i w:val="0"/>
          <w:caps w:val="0"/>
          <w:snapToGrid/>
          <w:color w:val="000000"/>
          <w:spacing w:val="0"/>
          <w:kern w:val="2"/>
          <w:sz w:val="32"/>
          <w:szCs w:val="32"/>
          <w:shd w:val="clear" w:color="auto" w:fill="FFFFFF"/>
          <w:lang w:val="en-US" w:eastAsia="zh-CN" w:bidi="ar-SA"/>
        </w:rPr>
        <w:t>（七）其他有关文件专门要求通过政府信息公开工作年度报告予以报告的事项</w:t>
      </w:r>
    </w:p>
    <w:p>
      <w:pPr>
        <w:spacing w:before="100" w:line="351" w:lineRule="auto"/>
        <w:ind w:left="5" w:firstLine="616"/>
        <w:jc w:val="both"/>
        <w:rPr>
          <w:rFonts w:hint="default" w:ascii="仿宋" w:hAnsi="仿宋" w:eastAsia="仿宋" w:cs="仿宋"/>
          <w:i w:val="0"/>
          <w:caps w:val="0"/>
          <w:snapToGrid/>
          <w:color w:val="000000"/>
          <w:spacing w:val="0"/>
          <w:kern w:val="2"/>
          <w:sz w:val="32"/>
          <w:szCs w:val="32"/>
          <w:shd w:val="clear" w:color="auto" w:fill="FFFFFF"/>
          <w:lang w:val="en-US" w:eastAsia="zh-CN" w:bidi="ar-SA"/>
        </w:rPr>
      </w:pPr>
      <w:r>
        <w:rPr>
          <w:rFonts w:hint="eastAsia" w:ascii="仿宋" w:hAnsi="仿宋" w:eastAsia="仿宋" w:cs="仿宋"/>
          <w:i w:val="0"/>
          <w:caps w:val="0"/>
          <w:snapToGrid/>
          <w:color w:val="000000"/>
          <w:spacing w:val="0"/>
          <w:kern w:val="2"/>
          <w:sz w:val="32"/>
          <w:szCs w:val="32"/>
          <w:shd w:val="clear" w:color="auto" w:fill="FFFFFF"/>
          <w:lang w:val="en-US" w:eastAsia="zh-CN" w:bidi="ar-SA"/>
        </w:rPr>
        <w:t>无。</w:t>
      </w:r>
    </w:p>
    <w:p>
      <w:pPr>
        <w:spacing w:before="100" w:line="351" w:lineRule="auto"/>
        <w:ind w:left="5" w:firstLine="616"/>
        <w:jc w:val="both"/>
        <w:rPr>
          <w:rFonts w:hint="eastAsia" w:ascii="仿宋" w:hAnsi="仿宋" w:eastAsia="仿宋" w:cs="仿宋"/>
          <w:i w:val="0"/>
          <w:caps w:val="0"/>
          <w:snapToGrid/>
          <w:color w:val="000000"/>
          <w:spacing w:val="0"/>
          <w:kern w:val="2"/>
          <w:sz w:val="32"/>
          <w:szCs w:val="32"/>
          <w:shd w:val="clear" w:color="auto" w:fill="FFFFFF"/>
          <w:lang w:eastAsia="zh-CN" w:bidi="ar-SA"/>
        </w:rPr>
      </w:pPr>
    </w:p>
    <w:sectPr>
      <w:footerReference r:id="rId6" w:type="default"/>
      <w:pgSz w:w="11906" w:h="16838"/>
      <w:pgMar w:top="1655" w:right="1259" w:bottom="1695" w:left="1281" w:header="0" w:footer="1559"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41"/>
      <w:jc w:val="both"/>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167"/>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03770391"/>
    <w:rsid w:val="108D1597"/>
    <w:rsid w:val="187A731C"/>
    <w:rsid w:val="2A39598D"/>
    <w:rsid w:val="2EAC0062"/>
    <w:rsid w:val="35F44640"/>
    <w:rsid w:val="3E4B71F5"/>
    <w:rsid w:val="43231E8F"/>
    <w:rsid w:val="58DB1C84"/>
    <w:rsid w:val="58FD4922"/>
    <w:rsid w:val="5FA463BF"/>
    <w:rsid w:val="666126BC"/>
    <w:rsid w:val="680F42BF"/>
    <w:rsid w:val="6FF976D2"/>
    <w:rsid w:val="73B34D96"/>
    <w:rsid w:val="77C17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ind w:left="-30"/>
      <w:outlineLvl w:val="1"/>
    </w:pPr>
    <w:rPr>
      <w:rFonts w:ascii="宋体" w:hAnsi="宋体" w:eastAsia="宋体" w:cs="宋体"/>
      <w:sz w:val="42"/>
      <w:szCs w:val="4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3244</Words>
  <Characters>3345</Characters>
  <Lines>0</Lines>
  <Paragraphs>0</Paragraphs>
  <TotalTime>0</TotalTime>
  <ScaleCrop>false</ScaleCrop>
  <LinksUpToDate>false</LinksUpToDate>
  <CharactersWithSpaces>3345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2023-01-28T02:28:00Z</dcterms:created>
  <dc:creator>财务科</dc:creator>
  <cp:lastModifiedBy>lucky [囧]</cp:lastModifiedBy>
  <dcterms:modified xsi:type="dcterms:W3CDTF">2023-02-09T06:02:56Z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E5708C3AD4854D5B9BF120AE97852B39</vt:lpwstr>
  </property>
</Properties>
</file>