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小标宋简体" w:hAnsi="方正小标宋简体" w:eastAsia="方正小标宋简体" w:cs="方正小标宋简体"/>
          <w:b/>
          <w:bCs/>
          <w:color w:val="2D66A3"/>
          <w:sz w:val="44"/>
          <w:szCs w:val="44"/>
        </w:rPr>
      </w:pPr>
      <w:r>
        <w:rPr>
          <w:rFonts w:hint="eastAsia" w:ascii="方正小标宋简体" w:hAnsi="方正小标宋简体" w:eastAsia="方正小标宋简体" w:cs="方正小标宋简体"/>
          <w:b/>
          <w:bCs/>
          <w:color w:val="2D66A3"/>
          <w:kern w:val="0"/>
          <w:sz w:val="44"/>
          <w:szCs w:val="44"/>
          <w:lang w:val="en-US" w:eastAsia="zh-CN" w:bidi="ar"/>
        </w:rPr>
        <w:t>微山县检验检测中心2020 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2020年，县检验检测中心在县委县政府的坚强领导下，坚持以习近平新时代中国特色社会主义思想为指导，认真贯彻落实党的十九大及十九届二中、三中、四中、五中全会精神，凝心聚力、砥砺奋进，着力推进检验检测工作高质量发展。县检验检测中心领导班子始终坚定政治立场、保持政治自觉、加强全面从严治党、保持风清气正的政治生态。现将2020年工作情况汇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一、规范提升，党组织更加坚强有力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旗帜鲜明讲政治。牢固树立“抓好党建是本职，不抓党建是失职，抓不好党建是不称职”思想，不断强化党组织建设，开展“检测为民，红心向党”最佳党建品牌创建。一是全力推进党支部标准化规范化建设。常态化开展“三会一课”、组织生活会、主题党日等活动。2020年度召开支部委员会会议19次，党员大会 6次，主题党日活动24次，由中心党支部书记上了《不忘初心、牢记使命，做新时代合格共产党员》党课。及时做好山东e支部组织生活电子日志录入工作，准确、客观记录53次支部线下组织生活开展情况；积极开展党员之间谈心谈话10余人次。二是严格落实全面从严治党主体责任。组织学习贯彻《党委（党组）落实全面从严治党主体责任规定》，明确新目标，提出新要求。制定《微山县检验检测中心党支部2020年度落实全面从严治党主体责任清单》。开展全面从严治党“两个责任”约谈工作，多次召开研究全面从严治党、党风廉政建设、反腐败工作专题会议。三是党员教育管理规范提升。严格履行党章规定的</w:t>
      </w:r>
      <w:r>
        <w:rPr>
          <w:rFonts w:hint="eastAsia" w:ascii="仿宋" w:hAnsi="仿宋" w:eastAsia="仿宋" w:cs="仿宋"/>
          <w:color w:val="333333"/>
          <w:sz w:val="32"/>
          <w:szCs w:val="32"/>
          <w:lang w:eastAsia="zh-CN"/>
        </w:rPr>
        <w:t>党费交纳</w:t>
      </w:r>
      <w:r>
        <w:rPr>
          <w:rFonts w:hint="eastAsia" w:ascii="仿宋" w:hAnsi="仿宋" w:eastAsia="仿宋" w:cs="仿宋"/>
          <w:color w:val="333333"/>
          <w:sz w:val="32"/>
          <w:szCs w:val="32"/>
        </w:rPr>
        <w:t>义务并做好党费收缴台账；充分利用“灯塔—党建在线”、“学习强国”、党群信息管理系统等网络平台，不断提升支部学习氛围，中心灯塔在线学习总课时2642.15学时，“灯塔大课堂”完成13课。同时，用好“灯塔—党建在线”平台，规范组织关系网上转接3名党员。四是完善并严格执行“三重一大”决策制度。召开中心“三重一大”决策制度及反馈修改建议专题会议，制定《微山县检验检测中心“三重一大”决策事项实施细则》。五是做好意识形态工作。先后召开2次专题会议，研究意识形态工作；开展“共产党员不得信仰宗教”、“不忘初心、牢记使命”、“向孙茂东同志学习”等主题党日活动；为推动构建风清气正的政治生态，微山县检验检测中心党支部制定了《落实网络意识形态工作责任制细则》、《意识形态工作应急处理机制》等重要制度文件。六是开展基层党建目标认领工作。召开党员目标认领党员大会，组织全体党员认真进行目标认领，并填写党员目标认领承诺书。中心党支部认领“党员之星”5人，“先进党员”7人，“合格党员”5人。七是发展党员质量规范提升。严格执行发展党员计划，坚持把政治标准摆在首位，2020年吸收1科级领导干部作为入党积极分子，疫情期间中心4名80后、90后年轻同志递交入党申请书，被中心党吸收为入党积极分子，为中心党组织注入新鲜血液和活力。八是积极开展党支部评星定级工作。按照我县《关于推进党支部标准化规范化建设的实施方案》部署要求，制定了《评星定级工作台账》，查摆问题，明确责任。中心党支部成功创建年度“五星级”党支部。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二、完善创新，检验检测公共服务水平进一步提升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一是顺利完成扩项工作。顺利通过省市场监管局评审专家组现场评审，授予微山县检验检测中心203个产品，1296个参数（项目）的扩项能力资质。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二是圆满完成2020年度农产品质量安全监督抽查检测任务。共318个批次，其中蔬菜、水果样品292批次，大米、玉米样品26批次，食品14个批次，包括农药残留和重金属在内的近10000多个参数，切实提高了我县农产品质量安全水平，为巩固省级农产品质量安全县和创建国家级农产品质量安全县做出巨大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三是积极完成省级食品安全县创建相关工作任务。作为迎接山东省食品安全县7个现场业态点之一，检测中心奋发作为、迎难而上，顺利通过省专家组验收、市聘第三方模拟验收和省市场监管局正式验收，为省级食品安全县创建工作做出了突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四是积极配合发改局完成全县军粮检测任务和做好“集中供热气代煤、电代煤”范围外清洁煤推广使用工作。共计检测军粮产品3个批次、清洁煤质量检测5个批次。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五是积极配合县扶贫办做好贫困户“两不愁三保障饮水安全”和水务局“城乡供水一体化工程”的生活饮用水检测任务。全年共检测生活饮用水648批次。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六是完成能力验证大比武工作。积极参与省市场监管局、省农业农村厅组织的能力验证工作，三个业务科室均顺利通过检测，在验证结果（一次能力验证）中获得了“满意”等次，成绩优秀。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三、主动作为，疫情防控工作落实到位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新冠肺炎疫情发生以来，检测中心领导班子积极主动落实上级各项要求，快速部署安排疫情防控工作。一是组织开展党员“双报到”志愿服务活动。成立“微山县检验检测中心疫情防控党员先锋队”，组织党员下沉薛河社区疫情防控一线，发放防疫宣传单，劝导违规经营商户，排查境外来微人员，协助群众申领健康码。二是加强内部人员管控力度。对中心人员健康情况每日登记排查，对返程职工按要求进行隔离，建立职工健康档案。三是做好舆情管理工作。四是严格外来人员登记制度。五是组织开展爱心募捐活动，通过自愿捐款的形式，领导班子带头、中心干部职工踊跃捐款近万元支援疫情防控。六是常态化开展疫情防控工作。建立疫情防控常态化反应机制，密切关注疫情动态，严禁人员赴中高风险地区，常态化摸底排查高风险地区来微人员，积极上报有关人员信息，做到快反应、不瞒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四、迎难而上，各项任务取得新成绩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一是启动集中攻坚月行动，助力脱贫攻坚。积极助力农村饮水安全，利用一个多月的时间，覆盖完成14个乡镇（街道）贫困村（户），共计近五百个水样的检测任务，有力有效助推我县决战决胜脱贫攻坚。同时，欢城镇高谷堆村包保贫困户高广存进行精准帮扶，常态化开展慰问走访工作，并落实 “五保户”政策，顺利完成脱贫任务。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二是积极推进微山湖旅游区创建国家5A级旅游景区工作。对旅游区经营场所的食品及公共环境饮用水进行检验检测，确保各项检测指标的安全性。组织工作人员到59号包保网格开展创建5A级旅游景区各项工作，发放宣传倡议书调动群众的参与创建工作的积极性。做好包保区域内卫生清洁工作。安排工作人员到包保区域值班，加大宣传力度、维持旅游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三是开展“四上”企业结对服务活动。中心主要负责同志带队到西平镇泰丰纺织有限公司、山东润昊工贸有限公司实地走访调研，与企业家、企业员工进行深入沟通交流，了解企业复工复产达产情况，摸排存在问题和企业未来发展方向，制定有针对性的结对服务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四是严格执行减费降税，切实做好“六稳”“六保”</w:t>
      </w:r>
      <w:bookmarkStart w:id="0" w:name="_GoBack"/>
      <w:bookmarkEnd w:id="0"/>
      <w:r>
        <w:rPr>
          <w:rFonts w:hint="eastAsia" w:ascii="仿宋" w:hAnsi="仿宋" w:eastAsia="仿宋" w:cs="仿宋"/>
          <w:color w:val="333333"/>
          <w:sz w:val="32"/>
          <w:szCs w:val="32"/>
        </w:rPr>
        <w:t>。按照上级文件精神要求，认真配合县水务局等部门，为城乡供水一体化工程、贫困村（户）和个体工商户开展生活饮用水检验检测减免行动，共计检测648个批次，减免费用近80万元。其中，在疫情期间，为全县个体工商户（包含个人独资企业）检测152个批次，减免费用165060元，切实帮助我县个体工商户解决了实际困难，保障了市场主体平稳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五是做好民意“5”来听走访活动。中心“民情书记”团队到夏镇街道薛河社区和付村街道张东村、李庄村、郑庄村开展民意“5”来听活动，倾听群众心声和诉求，在紫辉阳光小区开展化解矛盾“未诉先办”工作，通过耐心向群众讲解“三小车辆”禁行工作的重要意义，把群众的思想从抵触转化为支持，提前化解了群众的上访念头。会同县教体局、夏镇街道办事处在顺河家园北面规划建设1处幼儿园和紫辉阳光小区南边规划建设1处幼儿园，解决了群众上学难题；会同县住建局、夏镇街道办事处、热力公司解决了紫辉阳光小区群众集中供暖问题；会同县交通运输局、付村街道办事处，为付村街道李庄村建设硬化3公里村内道路，解决群众出行问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六是积极开展“为民服务，满意微山”红马甲志愿服务活动等。采用入商户和随机街坊的形式对辖区群众困难问题进行实地询问，宣讲党和政府扶贫、教育等各项惠民政策，弘扬了社会正能量、唱响了微山好声音，为全县群众满意度提升做出了积极贡献。组织人员前往包保区域开展卫生清洁，文明劝导等活动，有力助推省级卫生城市、省级文明城市复审验收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五、真抓实干，综合能力持续提升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一是严格执行精文简会。今年中心印发文件12份，支部文件6份，工会文件3份，推进了中心工作制度化建设。政务公开工作有序推进。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二是狠抓作风建设。先后4次召开检验检测中心深化作风建设动员会议、作风建设提升会议、深化作风建设提高执行力专题会议，确保了作风建设提高执行力工作有序推进。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三是重学习强队伍。定期组织干部职工学习《质量手册》等业务知识和观看廉政专题视频；组织干部职工参与中认国质（北京）检测技术研究院培训中心组织的检验检测机构资质认定内审员培训、实验室认可内审员培训，均通过考试；组织专业技术人员7人赴北京、上海、济南等地多次学习先进设备的操作规程、检验检测相关知识，提升检测水平和能力；组织中心全体干部职工参加了2020年国家工作人员学法用法考试，均取得不错成绩；认真做好技术人员职称应聘工作；积极做好招才引智工作，通过事业单位招聘计划，引进专业财务人员1名，通过微山县“优才计划”引进双一流院校高层次人才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四是积极开展文明创建、志愿服务等活动。积极参加“爱心送考”、助推社区文明创建工作等志愿服务活动，取得了较好的社会效果。检测中心积极参与筹集社会资金，共建微山希望小屋，帮助贫困儿童，助推“希望小屋”入围2020年“全国社会组织扶贫案例50佳”。获得“微山县新时代文明实践优秀志愿服务组织”称号，1名同志荣获“微山县新时代文明实践优秀志愿者”称号，1名同志荣获 “微山好人”称号。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五是认真抓好安全生产工作。顺利召开2020年管理评审工作会议。严格落实重要节点安保维稳工作。按期处置一批危废化学品。按照省级标准完成易制爆实验室改造提升工作，并通过省级公安部门网上验收，和县公安部门以及属地派出所现场联合验收。坚持经常性对实验室仪器、化学药品试剂等进行安全隐患排查，严格程序规范管理。开展重点领域安全风险隐患排查工作。邀请消防大队指导开展应急消防演练和消防器材正确使用方法强化培训，提升安全风险意识和应急处置能力，确保了中心安全生产平稳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六是中心领导班子全心全力支持全县重点工作。中心班子成员仅有3名的情况下，先后抽调副主任张玉强同志到县疫情指挥部、副主任种法岭同志到县城建指挥部帮助工作，为全县的疫情防控工作和城市建设工作做出了重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七是综合能力获得新提升。荣获市级“巾帼文明岗”；市级文明单位顺利通过复审；成功创建“省级卫生先进单位”。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六、牢记初心使命，廉政建设巩固深化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一是中心党支部书记、主任刘继英切实履行好党风廉政建设“第一责任人”职责；领导班子其他成员严格履行“一岗双责”。于5月份开展了全面从严治党“两个责任”约谈工作；召开了2次专题会议，研究全面从严治党和党风廉政建设；于12月份组织党员观看反腐败警示教育片并开展“干干净净做事，清清白白做人”主题党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二是集中开展营商环境整治。积极开展“整顿保密作风”。 “红顶中介”清理、“一人多证”、违规获得外籍身份专项清理行动。提高政治意识，建立各项制度，并签署了不违规收送现金、“红包”、购物卡、厉行节约反对浪费等承诺书，把遵规守纪落实到工作和生活的方方面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三是常态化开展提醒谈话。积极传播廉洁奉公，用革命精神、斗争精神鼓舞士气，把检测中心团队锻造成对党忠诚、廉洁自律、顾全大局坚决执行县委、县政府的决策部署、真心实意为人民群众谋利益、增福祉的优秀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四是持之以恒正风肃纪。严格贯彻落实中央八项规定及实施细则, 驰而不息纠治“四风”，班子及全体人员重大事项按规定上报，开展厉行节约反对浪费、违规配备使用公车、违规发放津补贴或福利、违规收送礼品礼金等排查活动，中心全体人员没有发生违法违纪等问题。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成绩虽然可喜，未来更加可期。2021年是实施 “十四五”规划开局之年，是加快推进创新转型高质量发展，努力开创现代化强县建设新局面的重要之年，检验检测中心将继续保持奋发有为的精神状态，坚定攻坚克难的必胜信念，团结拼搏，开拓进取，把检验检测中心建设成更加有效服务于全县经济社会发展的综合性检验检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二、主动公开政府信息情况</w:t>
      </w:r>
    </w:p>
    <w:tbl>
      <w:tblPr>
        <w:tblStyle w:val="3"/>
        <w:tblW w:w="8678"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585"/>
        <w:gridCol w:w="2102"/>
        <w:gridCol w:w="986"/>
        <w:gridCol w:w="114"/>
        <w:gridCol w:w="1058"/>
        <w:gridCol w:w="18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70" w:hRule="atLeast"/>
          <w:tblCellSpacing w:w="0" w:type="dxa"/>
          <w:jc w:val="center"/>
        </w:trPr>
        <w:tc>
          <w:tcPr>
            <w:tcW w:w="8678" w:type="dxa"/>
            <w:gridSpan w:val="6"/>
            <w:tcBorders>
              <w:top w:val="single" w:color="000000" w:sz="12" w:space="0"/>
              <w:left w:val="single" w:color="000000" w:sz="12" w:space="0"/>
              <w:bottom w:val="single" w:color="000000" w:sz="6" w:space="0"/>
              <w:right w:val="single" w:color="000000"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blCellSpacing w:w="0" w:type="dxa"/>
          <w:jc w:val="center"/>
        </w:trPr>
        <w:tc>
          <w:tcPr>
            <w:tcW w:w="2585" w:type="dxa"/>
            <w:tcBorders>
              <w:top w:val="nil"/>
              <w:left w:val="single" w:color="auto" w:sz="12"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信息内容</w:t>
            </w:r>
          </w:p>
        </w:tc>
        <w:tc>
          <w:tcPr>
            <w:tcW w:w="2102"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本年新制作数量</w:t>
            </w:r>
          </w:p>
        </w:tc>
        <w:tc>
          <w:tcPr>
            <w:tcW w:w="2158" w:type="dxa"/>
            <w:gridSpan w:val="3"/>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本年新公开数量</w:t>
            </w:r>
          </w:p>
        </w:tc>
        <w:tc>
          <w:tcPr>
            <w:tcW w:w="1833" w:type="dxa"/>
            <w:tcBorders>
              <w:top w:val="single" w:color="auto" w:sz="6" w:space="0"/>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对外公开总数量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blCellSpacing w:w="0" w:type="dxa"/>
          <w:jc w:val="center"/>
        </w:trPr>
        <w:tc>
          <w:tcPr>
            <w:tcW w:w="2585" w:type="dxa"/>
            <w:tcBorders>
              <w:top w:val="nil"/>
              <w:left w:val="single" w:color="auto" w:sz="12"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规章</w:t>
            </w:r>
          </w:p>
        </w:tc>
        <w:tc>
          <w:tcPr>
            <w:tcW w:w="2102"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2158" w:type="dxa"/>
            <w:gridSpan w:val="3"/>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183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blCellSpacing w:w="0" w:type="dxa"/>
          <w:jc w:val="center"/>
        </w:trPr>
        <w:tc>
          <w:tcPr>
            <w:tcW w:w="2585" w:type="dxa"/>
            <w:tcBorders>
              <w:top w:val="nil"/>
              <w:left w:val="single" w:color="auto" w:sz="12"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规范性文件</w:t>
            </w:r>
          </w:p>
        </w:tc>
        <w:tc>
          <w:tcPr>
            <w:tcW w:w="2102"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2158" w:type="dxa"/>
            <w:gridSpan w:val="3"/>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183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blCellSpacing w:w="0" w:type="dxa"/>
          <w:jc w:val="center"/>
        </w:trPr>
        <w:tc>
          <w:tcPr>
            <w:tcW w:w="8678" w:type="dxa"/>
            <w:gridSpan w:val="6"/>
            <w:tcBorders>
              <w:top w:val="nil"/>
              <w:left w:val="single" w:color="auto" w:sz="12" w:space="0"/>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blCellSpacing w:w="0" w:type="dxa"/>
          <w:jc w:val="center"/>
        </w:trPr>
        <w:tc>
          <w:tcPr>
            <w:tcW w:w="2585" w:type="dxa"/>
            <w:tcBorders>
              <w:top w:val="nil"/>
              <w:left w:val="single" w:color="auto" w:sz="12"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信息内容</w:t>
            </w:r>
          </w:p>
        </w:tc>
        <w:tc>
          <w:tcPr>
            <w:tcW w:w="2102"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上一年项目数量</w:t>
            </w:r>
          </w:p>
        </w:tc>
        <w:tc>
          <w:tcPr>
            <w:tcW w:w="2158" w:type="dxa"/>
            <w:gridSpan w:val="3"/>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本年增/ 减</w:t>
            </w:r>
          </w:p>
        </w:tc>
        <w:tc>
          <w:tcPr>
            <w:tcW w:w="1833" w:type="dxa"/>
            <w:tcBorders>
              <w:top w:val="single" w:color="auto" w:sz="6" w:space="0"/>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blCellSpacing w:w="0" w:type="dxa"/>
          <w:jc w:val="center"/>
        </w:trPr>
        <w:tc>
          <w:tcPr>
            <w:tcW w:w="2585" w:type="dxa"/>
            <w:tcBorders>
              <w:top w:val="nil"/>
              <w:left w:val="single" w:color="auto" w:sz="12"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行政许可</w:t>
            </w:r>
          </w:p>
        </w:tc>
        <w:tc>
          <w:tcPr>
            <w:tcW w:w="2102"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2158" w:type="dxa"/>
            <w:gridSpan w:val="3"/>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0</w:t>
            </w:r>
          </w:p>
        </w:tc>
        <w:tc>
          <w:tcPr>
            <w:tcW w:w="183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blCellSpacing w:w="0" w:type="dxa"/>
          <w:jc w:val="center"/>
        </w:trPr>
        <w:tc>
          <w:tcPr>
            <w:tcW w:w="2585" w:type="dxa"/>
            <w:tcBorders>
              <w:top w:val="nil"/>
              <w:left w:val="single" w:color="auto" w:sz="12"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其他对外管理服务事项</w:t>
            </w:r>
          </w:p>
        </w:tc>
        <w:tc>
          <w:tcPr>
            <w:tcW w:w="2102"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2158" w:type="dxa"/>
            <w:gridSpan w:val="3"/>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0</w:t>
            </w:r>
          </w:p>
        </w:tc>
        <w:tc>
          <w:tcPr>
            <w:tcW w:w="183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blCellSpacing w:w="0" w:type="dxa"/>
          <w:jc w:val="center"/>
        </w:trPr>
        <w:tc>
          <w:tcPr>
            <w:tcW w:w="8678" w:type="dxa"/>
            <w:gridSpan w:val="6"/>
            <w:tcBorders>
              <w:top w:val="nil"/>
              <w:left w:val="single" w:color="auto" w:sz="12" w:space="0"/>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blCellSpacing w:w="0" w:type="dxa"/>
          <w:jc w:val="center"/>
        </w:trPr>
        <w:tc>
          <w:tcPr>
            <w:tcW w:w="2585" w:type="dxa"/>
            <w:tcBorders>
              <w:top w:val="nil"/>
              <w:left w:val="single" w:color="auto" w:sz="12"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信息内容</w:t>
            </w:r>
          </w:p>
        </w:tc>
        <w:tc>
          <w:tcPr>
            <w:tcW w:w="2102"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上一年项目数量</w:t>
            </w:r>
          </w:p>
        </w:tc>
        <w:tc>
          <w:tcPr>
            <w:tcW w:w="2158" w:type="dxa"/>
            <w:gridSpan w:val="3"/>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本年增/ 减</w:t>
            </w:r>
          </w:p>
        </w:tc>
        <w:tc>
          <w:tcPr>
            <w:tcW w:w="1833" w:type="dxa"/>
            <w:tcBorders>
              <w:top w:val="single" w:color="auto" w:sz="6" w:space="0"/>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blCellSpacing w:w="0" w:type="dxa"/>
          <w:jc w:val="center"/>
        </w:trPr>
        <w:tc>
          <w:tcPr>
            <w:tcW w:w="2585" w:type="dxa"/>
            <w:tcBorders>
              <w:top w:val="nil"/>
              <w:left w:val="single" w:color="auto" w:sz="12"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行政处罚</w:t>
            </w:r>
          </w:p>
        </w:tc>
        <w:tc>
          <w:tcPr>
            <w:tcW w:w="2102"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2158" w:type="dxa"/>
            <w:gridSpan w:val="3"/>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0</w:t>
            </w:r>
          </w:p>
        </w:tc>
        <w:tc>
          <w:tcPr>
            <w:tcW w:w="183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blCellSpacing w:w="0" w:type="dxa"/>
          <w:jc w:val="center"/>
        </w:trPr>
        <w:tc>
          <w:tcPr>
            <w:tcW w:w="2585" w:type="dxa"/>
            <w:tcBorders>
              <w:top w:val="nil"/>
              <w:left w:val="single" w:color="auto" w:sz="12"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行政强制</w:t>
            </w:r>
          </w:p>
        </w:tc>
        <w:tc>
          <w:tcPr>
            <w:tcW w:w="2102"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2158" w:type="dxa"/>
            <w:gridSpan w:val="3"/>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0</w:t>
            </w:r>
          </w:p>
        </w:tc>
        <w:tc>
          <w:tcPr>
            <w:tcW w:w="183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blCellSpacing w:w="0" w:type="dxa"/>
          <w:jc w:val="center"/>
        </w:trPr>
        <w:tc>
          <w:tcPr>
            <w:tcW w:w="8678" w:type="dxa"/>
            <w:gridSpan w:val="6"/>
            <w:tcBorders>
              <w:top w:val="nil"/>
              <w:left w:val="single" w:color="auto" w:sz="12" w:space="0"/>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blCellSpacing w:w="0" w:type="dxa"/>
          <w:jc w:val="center"/>
        </w:trPr>
        <w:tc>
          <w:tcPr>
            <w:tcW w:w="2585" w:type="dxa"/>
            <w:tcBorders>
              <w:top w:val="nil"/>
              <w:left w:val="single" w:color="auto" w:sz="12"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信息内容</w:t>
            </w:r>
          </w:p>
        </w:tc>
        <w:tc>
          <w:tcPr>
            <w:tcW w:w="3088" w:type="dxa"/>
            <w:gridSpan w:val="2"/>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上一年项目数量</w:t>
            </w:r>
          </w:p>
        </w:tc>
        <w:tc>
          <w:tcPr>
            <w:tcW w:w="3005" w:type="dxa"/>
            <w:gridSpan w:val="3"/>
            <w:tcBorders>
              <w:top w:val="single" w:color="auto" w:sz="6" w:space="0"/>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本年增/ 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blCellSpacing w:w="0" w:type="dxa"/>
          <w:jc w:val="center"/>
        </w:trPr>
        <w:tc>
          <w:tcPr>
            <w:tcW w:w="2585" w:type="dxa"/>
            <w:tcBorders>
              <w:top w:val="nil"/>
              <w:left w:val="single" w:color="auto" w:sz="12"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行政事业性收费</w:t>
            </w:r>
          </w:p>
        </w:tc>
        <w:tc>
          <w:tcPr>
            <w:tcW w:w="3088" w:type="dxa"/>
            <w:gridSpan w:val="2"/>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3005" w:type="dxa"/>
            <w:gridSpan w:val="3"/>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blCellSpacing w:w="0" w:type="dxa"/>
          <w:jc w:val="center"/>
        </w:trPr>
        <w:tc>
          <w:tcPr>
            <w:tcW w:w="8678" w:type="dxa"/>
            <w:gridSpan w:val="6"/>
            <w:tcBorders>
              <w:top w:val="nil"/>
              <w:left w:val="single" w:color="auto" w:sz="12" w:space="0"/>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第二十条第（九）项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blCellSpacing w:w="0" w:type="dxa"/>
          <w:jc w:val="center"/>
        </w:trPr>
        <w:tc>
          <w:tcPr>
            <w:tcW w:w="2585" w:type="dxa"/>
            <w:tcBorders>
              <w:top w:val="nil"/>
              <w:left w:val="single" w:color="auto" w:sz="12"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信息内容</w:t>
            </w:r>
          </w:p>
        </w:tc>
        <w:tc>
          <w:tcPr>
            <w:tcW w:w="3202" w:type="dxa"/>
            <w:gridSpan w:val="3"/>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采购项目数量</w:t>
            </w:r>
          </w:p>
        </w:tc>
        <w:tc>
          <w:tcPr>
            <w:tcW w:w="2891" w:type="dxa"/>
            <w:gridSpan w:val="2"/>
            <w:tcBorders>
              <w:top w:val="single" w:color="auto" w:sz="6" w:space="0"/>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采购总金额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blCellSpacing w:w="0" w:type="dxa"/>
          <w:jc w:val="center"/>
        </w:trPr>
        <w:tc>
          <w:tcPr>
            <w:tcW w:w="2585" w:type="dxa"/>
            <w:tcBorders>
              <w:top w:val="nil"/>
              <w:left w:val="single" w:color="auto" w:sz="12" w:space="0"/>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政府集中采购</w:t>
            </w:r>
          </w:p>
        </w:tc>
        <w:tc>
          <w:tcPr>
            <w:tcW w:w="3202" w:type="dxa"/>
            <w:gridSpan w:val="3"/>
            <w:tcBorders>
              <w:top w:val="nil"/>
              <w:left w:val="nil"/>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2891" w:type="dxa"/>
            <w:gridSpan w:val="2"/>
            <w:tcBorders>
              <w:top w:val="nil"/>
              <w:left w:val="nil"/>
              <w:bottom w:val="single" w:color="auto" w:sz="12"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rFonts w:hint="eastAsia" w:ascii="仿宋" w:hAnsi="仿宋" w:eastAsia="仿宋" w:cs="仿宋"/>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三、收到和处理政府信息公开申请情况</w:t>
      </w:r>
    </w:p>
    <w:tbl>
      <w:tblPr>
        <w:tblStyle w:val="3"/>
        <w:tblW w:w="8678"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80"/>
        <w:gridCol w:w="975"/>
        <w:gridCol w:w="2817"/>
        <w:gridCol w:w="530"/>
        <w:gridCol w:w="717"/>
        <w:gridCol w:w="677"/>
        <w:gridCol w:w="663"/>
        <w:gridCol w:w="703"/>
        <w:gridCol w:w="663"/>
        <w:gridCol w:w="4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75" w:hRule="atLeast"/>
          <w:tblCellSpacing w:w="0" w:type="dxa"/>
          <w:jc w:val="center"/>
        </w:trPr>
        <w:tc>
          <w:tcPr>
            <w:tcW w:w="4272" w:type="dxa"/>
            <w:gridSpan w:val="3"/>
            <w:vMerge w:val="restart"/>
            <w:tcBorders>
              <w:top w:val="single" w:color="000000" w:sz="12" w:space="0"/>
              <w:left w:val="single" w:color="000000" w:sz="12"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（本列数据的勾稽关系为：第一项加第二项之和，等于第三项加第四项之和）</w:t>
            </w:r>
          </w:p>
        </w:tc>
        <w:tc>
          <w:tcPr>
            <w:tcW w:w="4406" w:type="dxa"/>
            <w:gridSpan w:val="7"/>
            <w:tcBorders>
              <w:top w:val="single" w:color="auto" w:sz="12" w:space="0"/>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tblCellSpacing w:w="0" w:type="dxa"/>
          <w:jc w:val="center"/>
        </w:trPr>
        <w:tc>
          <w:tcPr>
            <w:tcW w:w="4272" w:type="dxa"/>
            <w:gridSpan w:val="3"/>
            <w:vMerge w:val="continue"/>
            <w:tcBorders>
              <w:top w:val="single" w:color="000000" w:sz="12" w:space="0"/>
              <w:left w:val="single" w:color="000000" w:sz="12" w:space="0"/>
              <w:bottom w:val="single" w:color="000000" w:sz="6" w:space="0"/>
              <w:right w:val="single" w:color="000000" w:sz="6" w:space="0"/>
            </w:tcBorders>
            <w:shd w:val="clear" w:color="auto" w:fill="auto"/>
            <w:vAlign w:val="center"/>
          </w:tcPr>
          <w:p>
            <w:pPr>
              <w:rPr>
                <w:rFonts w:hint="eastAsia" w:ascii="仿宋" w:hAnsi="仿宋" w:eastAsia="仿宋" w:cs="仿宋"/>
                <w:sz w:val="32"/>
                <w:szCs w:val="32"/>
              </w:rPr>
            </w:pPr>
          </w:p>
        </w:tc>
        <w:tc>
          <w:tcPr>
            <w:tcW w:w="530" w:type="dxa"/>
            <w:vMerge w:val="restart"/>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自然人</w:t>
            </w:r>
          </w:p>
        </w:tc>
        <w:tc>
          <w:tcPr>
            <w:tcW w:w="3423" w:type="dxa"/>
            <w:gridSpan w:val="5"/>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法人或其他组织</w:t>
            </w:r>
          </w:p>
        </w:tc>
        <w:tc>
          <w:tcPr>
            <w:tcW w:w="453" w:type="dxa"/>
            <w:vMerge w:val="restart"/>
            <w:tcBorders>
              <w:top w:val="single" w:color="auto" w:sz="6" w:space="0"/>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jc w:val="center"/>
        </w:trPr>
        <w:tc>
          <w:tcPr>
            <w:tcW w:w="4272" w:type="dxa"/>
            <w:gridSpan w:val="3"/>
            <w:vMerge w:val="continue"/>
            <w:tcBorders>
              <w:top w:val="single" w:color="000000" w:sz="12" w:space="0"/>
              <w:left w:val="single" w:color="000000" w:sz="12" w:space="0"/>
              <w:bottom w:val="single" w:color="000000" w:sz="6" w:space="0"/>
              <w:right w:val="single" w:color="000000" w:sz="6" w:space="0"/>
            </w:tcBorders>
            <w:shd w:val="clear" w:color="auto" w:fill="auto"/>
            <w:vAlign w:val="center"/>
          </w:tcPr>
          <w:p>
            <w:pPr>
              <w:rPr>
                <w:rFonts w:hint="eastAsia" w:ascii="仿宋" w:hAnsi="仿宋" w:eastAsia="仿宋" w:cs="仿宋"/>
                <w:sz w:val="32"/>
                <w:szCs w:val="32"/>
              </w:rPr>
            </w:pPr>
          </w:p>
        </w:tc>
        <w:tc>
          <w:tcPr>
            <w:tcW w:w="530" w:type="dxa"/>
            <w:vMerge w:val="continue"/>
            <w:tcBorders>
              <w:top w:val="nil"/>
              <w:left w:val="nil"/>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商业企业</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科研机构</w:t>
            </w:r>
          </w:p>
        </w:tc>
        <w:tc>
          <w:tcPr>
            <w:tcW w:w="663"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社会公益组织</w:t>
            </w:r>
          </w:p>
        </w:tc>
        <w:tc>
          <w:tcPr>
            <w:tcW w:w="703"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法律服务机构</w:t>
            </w:r>
          </w:p>
        </w:tc>
        <w:tc>
          <w:tcPr>
            <w:tcW w:w="663"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其他</w:t>
            </w:r>
          </w:p>
        </w:tc>
        <w:tc>
          <w:tcPr>
            <w:tcW w:w="453" w:type="dxa"/>
            <w:vMerge w:val="continue"/>
            <w:tcBorders>
              <w:top w:val="single" w:color="auto" w:sz="6" w:space="0"/>
              <w:left w:val="nil"/>
              <w:bottom w:val="single" w:color="auto" w:sz="6" w:space="0"/>
              <w:right w:val="single" w:color="auto" w:sz="12" w:space="0"/>
            </w:tcBorders>
            <w:shd w:val="clear" w:color="auto" w:fill="auto"/>
            <w:vAlign w:val="center"/>
          </w:tcPr>
          <w:p>
            <w:pPr>
              <w:rPr>
                <w:rFonts w:hint="eastAsia" w:ascii="仿宋" w:hAnsi="仿宋" w:eastAsia="仿宋" w:cs="仿宋"/>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blCellSpacing w:w="0" w:type="dxa"/>
          <w:jc w:val="center"/>
        </w:trPr>
        <w:tc>
          <w:tcPr>
            <w:tcW w:w="4272" w:type="dxa"/>
            <w:gridSpan w:val="3"/>
            <w:tcBorders>
              <w:top w:val="nil"/>
              <w:left w:val="single" w:color="auto" w:sz="12"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一、本年新收政府信息公开申请数量</w:t>
            </w:r>
          </w:p>
        </w:tc>
        <w:tc>
          <w:tcPr>
            <w:tcW w:w="53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blCellSpacing w:w="0" w:type="dxa"/>
          <w:jc w:val="center"/>
        </w:trPr>
        <w:tc>
          <w:tcPr>
            <w:tcW w:w="4272" w:type="dxa"/>
            <w:gridSpan w:val="3"/>
            <w:tcBorders>
              <w:top w:val="nil"/>
              <w:left w:val="single" w:color="auto" w:sz="12"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二、上年结转政府信息公开申请数量</w:t>
            </w:r>
          </w:p>
        </w:tc>
        <w:tc>
          <w:tcPr>
            <w:tcW w:w="53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blCellSpacing w:w="0" w:type="dxa"/>
          <w:jc w:val="center"/>
        </w:trPr>
        <w:tc>
          <w:tcPr>
            <w:tcW w:w="480" w:type="dxa"/>
            <w:vMerge w:val="restart"/>
            <w:tcBorders>
              <w:top w:val="nil"/>
              <w:left w:val="single" w:color="auto" w:sz="12"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、本年度办理结果</w:t>
            </w:r>
          </w:p>
        </w:tc>
        <w:tc>
          <w:tcPr>
            <w:tcW w:w="3792" w:type="dxa"/>
            <w:gridSpan w:val="2"/>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（一）予以公开</w:t>
            </w:r>
          </w:p>
        </w:tc>
        <w:tc>
          <w:tcPr>
            <w:tcW w:w="53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single" w:color="auto" w:sz="6" w:space="0"/>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tblCellSpacing w:w="0" w:type="dxa"/>
          <w:jc w:val="center"/>
        </w:trPr>
        <w:tc>
          <w:tcPr>
            <w:tcW w:w="480" w:type="dxa"/>
            <w:vMerge w:val="continue"/>
            <w:tcBorders>
              <w:top w:val="nil"/>
              <w:left w:val="single" w:color="auto" w:sz="12" w:space="0"/>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3792" w:type="dxa"/>
            <w:gridSpan w:val="2"/>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（二）部分公开（区分处理的，只计这一情形，不计其他情形）</w:t>
            </w:r>
          </w:p>
        </w:tc>
        <w:tc>
          <w:tcPr>
            <w:tcW w:w="53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blCellSpacing w:w="0" w:type="dxa"/>
          <w:jc w:val="center"/>
        </w:trPr>
        <w:tc>
          <w:tcPr>
            <w:tcW w:w="480" w:type="dxa"/>
            <w:vMerge w:val="continue"/>
            <w:tcBorders>
              <w:top w:val="nil"/>
              <w:left w:val="single" w:color="auto" w:sz="12" w:space="0"/>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975" w:type="dxa"/>
            <w:vMerge w:val="restart"/>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（三） 不予公开</w:t>
            </w:r>
          </w:p>
        </w:tc>
        <w:tc>
          <w:tcPr>
            <w:tcW w:w="28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1. 属于国家秘密</w:t>
            </w:r>
          </w:p>
        </w:tc>
        <w:tc>
          <w:tcPr>
            <w:tcW w:w="53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single" w:color="auto" w:sz="6" w:space="0"/>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tblCellSpacing w:w="0" w:type="dxa"/>
          <w:jc w:val="center"/>
        </w:trPr>
        <w:tc>
          <w:tcPr>
            <w:tcW w:w="480" w:type="dxa"/>
            <w:vMerge w:val="continue"/>
            <w:tcBorders>
              <w:top w:val="nil"/>
              <w:left w:val="single" w:color="auto" w:sz="12" w:space="0"/>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975" w:type="dxa"/>
            <w:vMerge w:val="continue"/>
            <w:tcBorders>
              <w:top w:val="nil"/>
              <w:left w:val="nil"/>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28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2. 其他法律行政法规禁止公开</w:t>
            </w:r>
          </w:p>
        </w:tc>
        <w:tc>
          <w:tcPr>
            <w:tcW w:w="53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blCellSpacing w:w="0" w:type="dxa"/>
          <w:jc w:val="center"/>
        </w:trPr>
        <w:tc>
          <w:tcPr>
            <w:tcW w:w="480" w:type="dxa"/>
            <w:vMerge w:val="continue"/>
            <w:tcBorders>
              <w:top w:val="nil"/>
              <w:left w:val="single" w:color="auto" w:sz="12" w:space="0"/>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975" w:type="dxa"/>
            <w:vMerge w:val="continue"/>
            <w:tcBorders>
              <w:top w:val="nil"/>
              <w:left w:val="nil"/>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28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3. 危及“三安全一稳定”</w:t>
            </w:r>
          </w:p>
        </w:tc>
        <w:tc>
          <w:tcPr>
            <w:tcW w:w="53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blCellSpacing w:w="0" w:type="dxa"/>
          <w:jc w:val="center"/>
        </w:trPr>
        <w:tc>
          <w:tcPr>
            <w:tcW w:w="480" w:type="dxa"/>
            <w:vMerge w:val="continue"/>
            <w:tcBorders>
              <w:top w:val="nil"/>
              <w:left w:val="single" w:color="auto" w:sz="12" w:space="0"/>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975" w:type="dxa"/>
            <w:vMerge w:val="continue"/>
            <w:tcBorders>
              <w:top w:val="nil"/>
              <w:left w:val="nil"/>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28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4. 保护第三方合法权益</w:t>
            </w:r>
          </w:p>
        </w:tc>
        <w:tc>
          <w:tcPr>
            <w:tcW w:w="53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blCellSpacing w:w="0" w:type="dxa"/>
          <w:jc w:val="center"/>
        </w:trPr>
        <w:tc>
          <w:tcPr>
            <w:tcW w:w="480" w:type="dxa"/>
            <w:vMerge w:val="continue"/>
            <w:tcBorders>
              <w:top w:val="nil"/>
              <w:left w:val="single" w:color="auto" w:sz="12" w:space="0"/>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975" w:type="dxa"/>
            <w:vMerge w:val="continue"/>
            <w:tcBorders>
              <w:top w:val="nil"/>
              <w:left w:val="nil"/>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28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5. 属于三类内部事务信息</w:t>
            </w:r>
          </w:p>
        </w:tc>
        <w:tc>
          <w:tcPr>
            <w:tcW w:w="53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blCellSpacing w:w="0" w:type="dxa"/>
          <w:jc w:val="center"/>
        </w:trPr>
        <w:tc>
          <w:tcPr>
            <w:tcW w:w="480" w:type="dxa"/>
            <w:vMerge w:val="continue"/>
            <w:tcBorders>
              <w:top w:val="nil"/>
              <w:left w:val="single" w:color="auto" w:sz="12" w:space="0"/>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975" w:type="dxa"/>
            <w:vMerge w:val="continue"/>
            <w:tcBorders>
              <w:top w:val="nil"/>
              <w:left w:val="nil"/>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28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6. 属于四类过程性信息</w:t>
            </w:r>
          </w:p>
        </w:tc>
        <w:tc>
          <w:tcPr>
            <w:tcW w:w="53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blCellSpacing w:w="0" w:type="dxa"/>
          <w:jc w:val="center"/>
        </w:trPr>
        <w:tc>
          <w:tcPr>
            <w:tcW w:w="480" w:type="dxa"/>
            <w:vMerge w:val="continue"/>
            <w:tcBorders>
              <w:top w:val="nil"/>
              <w:left w:val="single" w:color="auto" w:sz="12" w:space="0"/>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975" w:type="dxa"/>
            <w:vMerge w:val="continue"/>
            <w:tcBorders>
              <w:top w:val="nil"/>
              <w:left w:val="nil"/>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28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7. 属于行政执法案卷</w:t>
            </w:r>
          </w:p>
        </w:tc>
        <w:tc>
          <w:tcPr>
            <w:tcW w:w="53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blCellSpacing w:w="0" w:type="dxa"/>
          <w:jc w:val="center"/>
        </w:trPr>
        <w:tc>
          <w:tcPr>
            <w:tcW w:w="480" w:type="dxa"/>
            <w:vMerge w:val="continue"/>
            <w:tcBorders>
              <w:top w:val="nil"/>
              <w:left w:val="single" w:color="auto" w:sz="12" w:space="0"/>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975" w:type="dxa"/>
            <w:vMerge w:val="continue"/>
            <w:tcBorders>
              <w:top w:val="nil"/>
              <w:left w:val="nil"/>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28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8. 属于行政查询事项</w:t>
            </w:r>
          </w:p>
        </w:tc>
        <w:tc>
          <w:tcPr>
            <w:tcW w:w="53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tblCellSpacing w:w="0" w:type="dxa"/>
          <w:jc w:val="center"/>
        </w:trPr>
        <w:tc>
          <w:tcPr>
            <w:tcW w:w="480" w:type="dxa"/>
            <w:vMerge w:val="continue"/>
            <w:tcBorders>
              <w:top w:val="nil"/>
              <w:left w:val="single" w:color="auto" w:sz="12" w:space="0"/>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975" w:type="dxa"/>
            <w:vMerge w:val="restart"/>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（四） 无法提供</w:t>
            </w:r>
          </w:p>
        </w:tc>
        <w:tc>
          <w:tcPr>
            <w:tcW w:w="28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1. 本机关不掌握相关政府信息</w:t>
            </w:r>
          </w:p>
        </w:tc>
        <w:tc>
          <w:tcPr>
            <w:tcW w:w="53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tblCellSpacing w:w="0" w:type="dxa"/>
          <w:jc w:val="center"/>
        </w:trPr>
        <w:tc>
          <w:tcPr>
            <w:tcW w:w="480" w:type="dxa"/>
            <w:vMerge w:val="continue"/>
            <w:tcBorders>
              <w:top w:val="nil"/>
              <w:left w:val="single" w:color="auto" w:sz="12" w:space="0"/>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975" w:type="dxa"/>
            <w:vMerge w:val="continue"/>
            <w:tcBorders>
              <w:top w:val="nil"/>
              <w:left w:val="nil"/>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28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2. 没有现成信息需要另行制作</w:t>
            </w:r>
          </w:p>
        </w:tc>
        <w:tc>
          <w:tcPr>
            <w:tcW w:w="53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blCellSpacing w:w="0" w:type="dxa"/>
          <w:jc w:val="center"/>
        </w:trPr>
        <w:tc>
          <w:tcPr>
            <w:tcW w:w="480" w:type="dxa"/>
            <w:vMerge w:val="continue"/>
            <w:tcBorders>
              <w:top w:val="nil"/>
              <w:left w:val="single" w:color="auto" w:sz="12" w:space="0"/>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975" w:type="dxa"/>
            <w:vMerge w:val="continue"/>
            <w:tcBorders>
              <w:top w:val="nil"/>
              <w:left w:val="nil"/>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28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3. 补正后申请内容仍不明确</w:t>
            </w:r>
          </w:p>
        </w:tc>
        <w:tc>
          <w:tcPr>
            <w:tcW w:w="53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blCellSpacing w:w="0" w:type="dxa"/>
          <w:jc w:val="center"/>
        </w:trPr>
        <w:tc>
          <w:tcPr>
            <w:tcW w:w="480" w:type="dxa"/>
            <w:vMerge w:val="continue"/>
            <w:tcBorders>
              <w:top w:val="nil"/>
              <w:left w:val="single" w:color="auto" w:sz="12" w:space="0"/>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975" w:type="dxa"/>
            <w:vMerge w:val="restart"/>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（五） 不予处理</w:t>
            </w:r>
          </w:p>
        </w:tc>
        <w:tc>
          <w:tcPr>
            <w:tcW w:w="28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1. 信访举报投诉类申请</w:t>
            </w:r>
          </w:p>
        </w:tc>
        <w:tc>
          <w:tcPr>
            <w:tcW w:w="53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blCellSpacing w:w="0" w:type="dxa"/>
          <w:jc w:val="center"/>
        </w:trPr>
        <w:tc>
          <w:tcPr>
            <w:tcW w:w="480" w:type="dxa"/>
            <w:vMerge w:val="continue"/>
            <w:tcBorders>
              <w:top w:val="nil"/>
              <w:left w:val="single" w:color="auto" w:sz="12" w:space="0"/>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975" w:type="dxa"/>
            <w:vMerge w:val="continue"/>
            <w:tcBorders>
              <w:top w:val="nil"/>
              <w:left w:val="nil"/>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28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2. 重复申请</w:t>
            </w:r>
          </w:p>
        </w:tc>
        <w:tc>
          <w:tcPr>
            <w:tcW w:w="53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blCellSpacing w:w="0" w:type="dxa"/>
          <w:jc w:val="center"/>
        </w:trPr>
        <w:tc>
          <w:tcPr>
            <w:tcW w:w="480" w:type="dxa"/>
            <w:vMerge w:val="continue"/>
            <w:tcBorders>
              <w:top w:val="nil"/>
              <w:left w:val="single" w:color="auto" w:sz="12" w:space="0"/>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975" w:type="dxa"/>
            <w:vMerge w:val="continue"/>
            <w:tcBorders>
              <w:top w:val="nil"/>
              <w:left w:val="nil"/>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28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3. 要求提供公开出版物</w:t>
            </w:r>
          </w:p>
        </w:tc>
        <w:tc>
          <w:tcPr>
            <w:tcW w:w="53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blCellSpacing w:w="0" w:type="dxa"/>
          <w:jc w:val="center"/>
        </w:trPr>
        <w:tc>
          <w:tcPr>
            <w:tcW w:w="480" w:type="dxa"/>
            <w:vMerge w:val="continue"/>
            <w:tcBorders>
              <w:top w:val="nil"/>
              <w:left w:val="single" w:color="auto" w:sz="12" w:space="0"/>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975" w:type="dxa"/>
            <w:vMerge w:val="continue"/>
            <w:tcBorders>
              <w:top w:val="nil"/>
              <w:left w:val="nil"/>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28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4. 无正当理由大量反复申请</w:t>
            </w:r>
          </w:p>
        </w:tc>
        <w:tc>
          <w:tcPr>
            <w:tcW w:w="53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0" w:hRule="atLeast"/>
          <w:tblCellSpacing w:w="0" w:type="dxa"/>
          <w:jc w:val="center"/>
        </w:trPr>
        <w:tc>
          <w:tcPr>
            <w:tcW w:w="480" w:type="dxa"/>
            <w:vMerge w:val="continue"/>
            <w:tcBorders>
              <w:top w:val="nil"/>
              <w:left w:val="single" w:color="auto" w:sz="12" w:space="0"/>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975" w:type="dxa"/>
            <w:vMerge w:val="continue"/>
            <w:tcBorders>
              <w:top w:val="nil"/>
              <w:left w:val="nil"/>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28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5. 要求行政机关确认或重新出具已获取信息</w:t>
            </w:r>
          </w:p>
        </w:tc>
        <w:tc>
          <w:tcPr>
            <w:tcW w:w="53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blCellSpacing w:w="0" w:type="dxa"/>
          <w:jc w:val="center"/>
        </w:trPr>
        <w:tc>
          <w:tcPr>
            <w:tcW w:w="480" w:type="dxa"/>
            <w:vMerge w:val="continue"/>
            <w:tcBorders>
              <w:top w:val="nil"/>
              <w:left w:val="single" w:color="auto" w:sz="12" w:space="0"/>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3792" w:type="dxa"/>
            <w:gridSpan w:val="2"/>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（六）其他处理</w:t>
            </w:r>
          </w:p>
        </w:tc>
        <w:tc>
          <w:tcPr>
            <w:tcW w:w="53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blCellSpacing w:w="0" w:type="dxa"/>
          <w:jc w:val="center"/>
        </w:trPr>
        <w:tc>
          <w:tcPr>
            <w:tcW w:w="480" w:type="dxa"/>
            <w:vMerge w:val="continue"/>
            <w:tcBorders>
              <w:top w:val="nil"/>
              <w:left w:val="single" w:color="auto" w:sz="12" w:space="0"/>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3792" w:type="dxa"/>
            <w:gridSpan w:val="2"/>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（七）总计</w:t>
            </w:r>
          </w:p>
        </w:tc>
        <w:tc>
          <w:tcPr>
            <w:tcW w:w="530"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nil"/>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blCellSpacing w:w="0" w:type="dxa"/>
          <w:jc w:val="center"/>
        </w:trPr>
        <w:tc>
          <w:tcPr>
            <w:tcW w:w="4272" w:type="dxa"/>
            <w:gridSpan w:val="3"/>
            <w:tcBorders>
              <w:top w:val="nil"/>
              <w:left w:val="single" w:color="auto" w:sz="12" w:space="0"/>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四、结转下年度继续办理</w:t>
            </w:r>
          </w:p>
        </w:tc>
        <w:tc>
          <w:tcPr>
            <w:tcW w:w="530" w:type="dxa"/>
            <w:tcBorders>
              <w:top w:val="nil"/>
              <w:left w:val="nil"/>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17" w:type="dxa"/>
            <w:tcBorders>
              <w:top w:val="nil"/>
              <w:left w:val="nil"/>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77" w:type="dxa"/>
            <w:tcBorders>
              <w:top w:val="nil"/>
              <w:left w:val="nil"/>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703" w:type="dxa"/>
            <w:tcBorders>
              <w:top w:val="nil"/>
              <w:left w:val="nil"/>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663" w:type="dxa"/>
            <w:tcBorders>
              <w:top w:val="nil"/>
              <w:left w:val="nil"/>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453" w:type="dxa"/>
            <w:tcBorders>
              <w:top w:val="nil"/>
              <w:left w:val="nil"/>
              <w:bottom w:val="single" w:color="auto" w:sz="12"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rFonts w:hint="eastAsia" w:ascii="仿宋" w:hAnsi="仿宋" w:eastAsia="仿宋" w:cs="仿宋"/>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rFonts w:hint="eastAsia" w:ascii="仿宋" w:hAnsi="仿宋" w:eastAsia="仿宋" w:cs="仿宋"/>
          <w:color w:val="333333"/>
          <w:sz w:val="32"/>
          <w:szCs w:val="32"/>
        </w:rPr>
      </w:pPr>
    </w:p>
    <w:tbl>
      <w:tblPr>
        <w:tblStyle w:val="3"/>
        <w:tblW w:w="8678"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90"/>
        <w:gridCol w:w="574"/>
        <w:gridCol w:w="574"/>
        <w:gridCol w:w="574"/>
        <w:gridCol w:w="588"/>
        <w:gridCol w:w="575"/>
        <w:gridCol w:w="575"/>
        <w:gridCol w:w="575"/>
        <w:gridCol w:w="575"/>
        <w:gridCol w:w="588"/>
        <w:gridCol w:w="575"/>
        <w:gridCol w:w="575"/>
        <w:gridCol w:w="575"/>
        <w:gridCol w:w="575"/>
        <w:gridCol w:w="5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95" w:hRule="atLeast"/>
          <w:tblCellSpacing w:w="0" w:type="dxa"/>
          <w:jc w:val="center"/>
        </w:trPr>
        <w:tc>
          <w:tcPr>
            <w:tcW w:w="2900" w:type="dxa"/>
            <w:gridSpan w:val="5"/>
            <w:tcBorders>
              <w:top w:val="single" w:color="000000" w:sz="12" w:space="0"/>
              <w:left w:val="single" w:color="000000" w:sz="12"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行政复议</w:t>
            </w:r>
          </w:p>
        </w:tc>
        <w:tc>
          <w:tcPr>
            <w:tcW w:w="5778" w:type="dxa"/>
            <w:gridSpan w:val="10"/>
            <w:tcBorders>
              <w:top w:val="single" w:color="auto" w:sz="12" w:space="0"/>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blCellSpacing w:w="0" w:type="dxa"/>
          <w:jc w:val="center"/>
        </w:trPr>
        <w:tc>
          <w:tcPr>
            <w:tcW w:w="590" w:type="dxa"/>
            <w:vMerge w:val="restart"/>
            <w:tcBorders>
              <w:top w:val="nil"/>
              <w:left w:val="single" w:color="auto" w:sz="12"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结果维持</w:t>
            </w:r>
          </w:p>
        </w:tc>
        <w:tc>
          <w:tcPr>
            <w:tcW w:w="574" w:type="dxa"/>
            <w:vMerge w:val="restart"/>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结果纠正</w:t>
            </w:r>
          </w:p>
        </w:tc>
        <w:tc>
          <w:tcPr>
            <w:tcW w:w="574" w:type="dxa"/>
            <w:vMerge w:val="restart"/>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其他结果</w:t>
            </w:r>
          </w:p>
        </w:tc>
        <w:tc>
          <w:tcPr>
            <w:tcW w:w="574" w:type="dxa"/>
            <w:vMerge w:val="restart"/>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尚未审结</w:t>
            </w:r>
          </w:p>
        </w:tc>
        <w:tc>
          <w:tcPr>
            <w:tcW w:w="588" w:type="dxa"/>
            <w:vMerge w:val="restart"/>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总计</w:t>
            </w:r>
          </w:p>
        </w:tc>
        <w:tc>
          <w:tcPr>
            <w:tcW w:w="2888" w:type="dxa"/>
            <w:gridSpan w:val="5"/>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未经复议直接起诉</w:t>
            </w:r>
          </w:p>
        </w:tc>
        <w:tc>
          <w:tcPr>
            <w:tcW w:w="2890" w:type="dxa"/>
            <w:gridSpan w:val="5"/>
            <w:tcBorders>
              <w:top w:val="single" w:color="auto" w:sz="6" w:space="0"/>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75" w:hRule="atLeast"/>
          <w:tblCellSpacing w:w="0" w:type="dxa"/>
          <w:jc w:val="center"/>
        </w:trPr>
        <w:tc>
          <w:tcPr>
            <w:tcW w:w="590" w:type="dxa"/>
            <w:vMerge w:val="continue"/>
            <w:tcBorders>
              <w:top w:val="nil"/>
              <w:left w:val="single" w:color="auto" w:sz="12" w:space="0"/>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574" w:type="dxa"/>
            <w:vMerge w:val="continue"/>
            <w:tcBorders>
              <w:top w:val="nil"/>
              <w:left w:val="nil"/>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574" w:type="dxa"/>
            <w:vMerge w:val="continue"/>
            <w:tcBorders>
              <w:top w:val="single" w:color="auto" w:sz="6" w:space="0"/>
              <w:left w:val="nil"/>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574" w:type="dxa"/>
            <w:vMerge w:val="continue"/>
            <w:tcBorders>
              <w:top w:val="single" w:color="auto" w:sz="6" w:space="0"/>
              <w:left w:val="nil"/>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588" w:type="dxa"/>
            <w:vMerge w:val="continue"/>
            <w:tcBorders>
              <w:top w:val="single" w:color="auto" w:sz="6" w:space="0"/>
              <w:left w:val="nil"/>
              <w:bottom w:val="single" w:color="auto" w:sz="6" w:space="0"/>
              <w:right w:val="single" w:color="auto" w:sz="6" w:space="0"/>
            </w:tcBorders>
            <w:shd w:val="clear" w:color="auto" w:fill="auto"/>
            <w:vAlign w:val="center"/>
          </w:tcPr>
          <w:p>
            <w:pPr>
              <w:rPr>
                <w:rFonts w:hint="eastAsia" w:ascii="仿宋" w:hAnsi="仿宋" w:eastAsia="仿宋" w:cs="仿宋"/>
                <w:sz w:val="32"/>
                <w:szCs w:val="32"/>
              </w:rPr>
            </w:pPr>
          </w:p>
        </w:tc>
        <w:tc>
          <w:tcPr>
            <w:tcW w:w="57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结果维持</w:t>
            </w:r>
          </w:p>
        </w:tc>
        <w:tc>
          <w:tcPr>
            <w:tcW w:w="575"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结果纠正</w:t>
            </w:r>
          </w:p>
        </w:tc>
        <w:tc>
          <w:tcPr>
            <w:tcW w:w="575"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其他结果</w:t>
            </w:r>
          </w:p>
        </w:tc>
        <w:tc>
          <w:tcPr>
            <w:tcW w:w="575"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尚未审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结</w:t>
            </w:r>
          </w:p>
        </w:tc>
        <w:tc>
          <w:tcPr>
            <w:tcW w:w="588"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总计</w:t>
            </w:r>
          </w:p>
        </w:tc>
        <w:tc>
          <w:tcPr>
            <w:tcW w:w="575"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结果维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持</w:t>
            </w:r>
          </w:p>
        </w:tc>
        <w:tc>
          <w:tcPr>
            <w:tcW w:w="575"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结果纠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正</w:t>
            </w:r>
          </w:p>
        </w:tc>
        <w:tc>
          <w:tcPr>
            <w:tcW w:w="575"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其他结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果</w:t>
            </w:r>
          </w:p>
        </w:tc>
        <w:tc>
          <w:tcPr>
            <w:tcW w:w="575"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尚未审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结</w:t>
            </w:r>
          </w:p>
        </w:tc>
        <w:tc>
          <w:tcPr>
            <w:tcW w:w="590" w:type="dxa"/>
            <w:tcBorders>
              <w:top w:val="single" w:color="auto" w:sz="6" w:space="0"/>
              <w:left w:val="nil"/>
              <w:bottom w:val="single" w:color="auto" w:sz="6"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80" w:hRule="atLeast"/>
          <w:tblCellSpacing w:w="0" w:type="dxa"/>
          <w:jc w:val="center"/>
        </w:trPr>
        <w:tc>
          <w:tcPr>
            <w:tcW w:w="590" w:type="dxa"/>
            <w:tcBorders>
              <w:top w:val="nil"/>
              <w:left w:val="single" w:color="auto" w:sz="12" w:space="0"/>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574" w:type="dxa"/>
            <w:tcBorders>
              <w:top w:val="nil"/>
              <w:left w:val="nil"/>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574" w:type="dxa"/>
            <w:tcBorders>
              <w:top w:val="nil"/>
              <w:left w:val="nil"/>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574" w:type="dxa"/>
            <w:tcBorders>
              <w:top w:val="nil"/>
              <w:left w:val="nil"/>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588" w:type="dxa"/>
            <w:tcBorders>
              <w:top w:val="nil"/>
              <w:left w:val="nil"/>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575" w:type="dxa"/>
            <w:tcBorders>
              <w:top w:val="nil"/>
              <w:left w:val="nil"/>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575" w:type="dxa"/>
            <w:tcBorders>
              <w:top w:val="nil"/>
              <w:left w:val="nil"/>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575" w:type="dxa"/>
            <w:tcBorders>
              <w:top w:val="nil"/>
              <w:left w:val="nil"/>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575" w:type="dxa"/>
            <w:tcBorders>
              <w:top w:val="nil"/>
              <w:left w:val="nil"/>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588" w:type="dxa"/>
            <w:tcBorders>
              <w:top w:val="nil"/>
              <w:left w:val="nil"/>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575" w:type="dxa"/>
            <w:tcBorders>
              <w:top w:val="nil"/>
              <w:left w:val="nil"/>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575" w:type="dxa"/>
            <w:tcBorders>
              <w:top w:val="nil"/>
              <w:left w:val="nil"/>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575" w:type="dxa"/>
            <w:tcBorders>
              <w:top w:val="nil"/>
              <w:left w:val="nil"/>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575" w:type="dxa"/>
            <w:tcBorders>
              <w:top w:val="nil"/>
              <w:left w:val="nil"/>
              <w:bottom w:val="single" w:color="auto" w:sz="12"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c>
          <w:tcPr>
            <w:tcW w:w="590" w:type="dxa"/>
            <w:tcBorders>
              <w:top w:val="nil"/>
              <w:left w:val="nil"/>
              <w:bottom w:val="single" w:color="auto" w:sz="12" w:space="0"/>
              <w:right w:val="single" w:color="auto" w:sz="12"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333333"/>
                <w:sz w:val="32"/>
                <w:szCs w:val="32"/>
              </w:rPr>
            </w:pPr>
            <w:r>
              <w:rPr>
                <w:rFonts w:hint="eastAsia" w:ascii="仿宋" w:hAnsi="仿宋" w:eastAsia="仿宋" w:cs="仿宋"/>
                <w:color w:val="333333"/>
                <w:sz w:val="32"/>
                <w:szCs w:val="32"/>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微山县检验检测中心2020年未收到县人大提案信息。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仿宋" w:hAnsi="仿宋" w:eastAsia="仿宋" w:cs="仿宋"/>
          <w:color w:val="333333"/>
          <w:sz w:val="32"/>
          <w:szCs w:val="32"/>
        </w:rPr>
      </w:pPr>
      <w:r>
        <w:rPr>
          <w:rFonts w:hint="eastAsia" w:ascii="仿宋" w:hAnsi="仿宋" w:eastAsia="仿宋" w:cs="仿宋"/>
          <w:color w:val="333333"/>
          <w:sz w:val="32"/>
          <w:szCs w:val="32"/>
        </w:rPr>
        <w:t>微山县检验检测中心2020年未收到县政协提案信息。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rFonts w:hint="eastAsia" w:ascii="仿宋" w:hAnsi="仿宋" w:eastAsia="仿宋" w:cs="仿宋"/>
          <w:color w:val="333333"/>
          <w:sz w:val="32"/>
          <w:szCs w:val="32"/>
        </w:rPr>
      </w:pPr>
    </w:p>
    <w:p>
      <w:pPr>
        <w:rPr>
          <w:rFonts w:hint="eastAsia" w:ascii="仿宋" w:hAnsi="仿宋" w:eastAsia="仿宋" w:cs="仿宋"/>
          <w:sz w:val="32"/>
          <w:szCs w:val="32"/>
        </w:rPr>
      </w:pPr>
    </w:p>
    <w:sectPr>
      <w:pgSz w:w="11906" w:h="16838"/>
      <w:pgMar w:top="1701" w:right="1587"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NmFmMmM4MzBkMjk4YzljM2E0OTYzMjcwMDkyOTYifQ=="/>
  </w:docVars>
  <w:rsids>
    <w:rsidRoot w:val="00000000"/>
    <w:rsid w:val="01180282"/>
    <w:rsid w:val="03094B5B"/>
    <w:rsid w:val="06686562"/>
    <w:rsid w:val="181C153A"/>
    <w:rsid w:val="1A3D61DE"/>
    <w:rsid w:val="4FD32AA2"/>
    <w:rsid w:val="6D6D3372"/>
    <w:rsid w:val="6E9C0EA1"/>
    <w:rsid w:val="6FF90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2021-05-31T01:23:00Z</dcterms:created>
  <dc:creator>lenovo</dc:creator>
  <cp:lastModifiedBy>Administrator</cp:lastModifiedBy>
  <dcterms:modified xsi:type="dcterms:W3CDTF">2025-03-25T02:20:42Z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7976F62A6C214291B43F3D18A2536931</vt:lpwstr>
  </property>
</Properties>
</file>