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7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E96E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微山县市场监督管理局</w:t>
      </w:r>
    </w:p>
    <w:p w14:paraId="5171F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关于印发《2024年度“双随机、一公开”</w:t>
      </w:r>
    </w:p>
    <w:p w14:paraId="0110C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抽查工作计划》的通知</w:t>
      </w:r>
    </w:p>
    <w:p w14:paraId="3EAB9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8D8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乡镇（街道、开发区）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市场监管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局机关各科室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综合执法大队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 w14:paraId="63EDC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为做好2024年度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市场监管系统“双随机、一公开”监管工作，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研究制定了《2024年度“双随机、一公开”抽查工作计划》（以下简称《计划》），现印发给你们，并就有关事项通知如下：</w:t>
      </w:r>
    </w:p>
    <w:p w14:paraId="2355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一、夯实完善“双随机、一公开”监管基础制度</w:t>
      </w:r>
    </w:p>
    <w:p w14:paraId="536E4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县局各相关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要在《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微山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市场监管局随机抽查事项清单（第一版）》基础上，根据法律法规规章立改废释情况，以及部门联合抽查工作计划、“互联网+监管”目录清单、“证照分离”改革事项等实施需要，增加或调整相关随机抽查事项和内容。要结合监管特点和需要，统筹建立本条线统一的检查对象名录库，并实现动态更新，做到“底数清”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局信用监管科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加强对“两库”的精细化建设，实现与“互联网+监管”平台人员信息的相互匹配。各单位要在实践中不断完善随机抽查工作指引和细则，提高“双随机、一公开”监管制度化、规范化水平，为“尽职照单免责、失职照单问责”提供依据。</w:t>
      </w:r>
    </w:p>
    <w:p w14:paraId="7D0CF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二、规范实施年度抽查工作计划</w:t>
      </w:r>
    </w:p>
    <w:p w14:paraId="10633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各相关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综合执法大队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要按照年度抽查工作计划明确的责任分工，牵头指导</w:t>
      </w:r>
      <w:r>
        <w:rPr>
          <w:rFonts w:hint="eastAsia" w:asci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抓好本业务条线相关抽查任务的组织实施。对于省市级统一发起的抽查任务，要组织开展相关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所科队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业务学习</w:t>
      </w:r>
      <w:r>
        <w:rPr>
          <w:rFonts w:hint="eastAsia" w:asci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培训</w:t>
      </w:r>
      <w:r>
        <w:rPr>
          <w:rFonts w:hint="eastAsia" w:asci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，及时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执法人员实施现场检查。对于县级发起的抽查任务，要提早谋划具体实施方案，加强检查指导，确保检查实施到位、结果公示到位、后续处理到位。各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市场监管所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要规范执法过程，执法检查要全程留痕，明确检查相关具体要求。各级执法人员要依法、审慎、准确判定“双随机、一公开”检查结果，避免误判、误录。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局将组织开展对各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执法人员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“双随机、一公开”检查结果复查工作，并将复查结果作为激励先进、评先树优的重要参考。</w:t>
      </w:r>
    </w:p>
    <w:p w14:paraId="197A8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市场监管所、相关科室及综合执法大队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对执法人员力量进行研判分析，积极探索科学有效的执法人员统筹调配机制。要合理分配监管力量，避免因匹配不均衡、检查扎堆等原因造成检查质量下降。要加强智慧市场监管一体化平台、山东通移动监管模块应用，提升抽查检查效率，减轻基层执法人员负担。</w:t>
      </w:r>
    </w:p>
    <w:p w14:paraId="10A12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三、建立健全部门联合抽查工作机制</w:t>
      </w:r>
    </w:p>
    <w:p w14:paraId="236A7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各相关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综合执法大队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要在牵头指导实施年度抽查工作计划基础上，对照《微山县部门联合“双随机、一公开”抽查事项清单</w:t>
      </w:r>
      <w:r>
        <w:rPr>
          <w:rFonts w:hint="eastAsia" w:asci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第三版</w:t>
      </w:r>
      <w:r>
        <w:rPr>
          <w:rFonts w:hint="eastAsia" w:asci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，结合实际提出拟联合其他部门开展抽查的事项和任务。在确保实现“双随机、一公开”监管全覆盖、抽查全流程整合基础上，配合县局会同各相关部门大力推进重点领域部门联合抽查工作，制定相应的联合抽查事项清单和计划，进一步推动实现部门联查常态化。</w:t>
      </w:r>
    </w:p>
    <w:p w14:paraId="743BB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四、强化信用风险分类监管与双随机抽查的有效结合</w:t>
      </w:r>
    </w:p>
    <w:p w14:paraId="60723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省、市局关于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信用风险分类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监管的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求，加快制定完善信用风险分类监管的具体制度和措施，在“双随机、一公开”抽查等事中事后监管工作中，针对不同信用类别企业采取差异化监管措施。在将信用状况作为基础性分类标准的基础上，在食品安全、特种设备安全等领域，加强风险预警管控和分类处置，采取有效措施及时防范化解风险，逐步实现智慧监管。要继续强化信用风险分类与“双随机、一公开”抽查的融合运用，对高风险的提高抽查比例，对低风险的降低抽查比例和频次，做到精准发力。</w:t>
      </w:r>
    </w:p>
    <w:p w14:paraId="77DC5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五、加强分析评估</w:t>
      </w:r>
    </w:p>
    <w:p w14:paraId="09C8C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加强对“双随机、一公开”监管工作的组织领导，强化对年度抽查工作计划实施情况的跟踪问效，坚持问题导向，将双随机抽查作为发现问题线索的重要手段，认真开展分析评估，及时掌握监管中的风险领域和薄弱环节，采取进一步监管措施。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市场监管所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在制定工作计划和具体抽查工作中遇到的问题，要及时请示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局对口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室。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局将适时对检查任务完成情况进行调度，对于未按《计划》完成抽查任务的视情予以通报并作为督查考核依据。</w:t>
      </w:r>
    </w:p>
    <w:p w14:paraId="6F757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</w:t>
      </w:r>
    </w:p>
    <w:p w14:paraId="64DEC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200" w:hanging="960" w:hangingChars="3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微山县市场监督管理局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2024年度“双随机、一公开”抽查工作计划</w:t>
      </w:r>
    </w:p>
    <w:p w14:paraId="14483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 w14:paraId="1379B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9A2E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</w:t>
      </w:r>
      <w:r>
        <w:rPr>
          <w:rFonts w:hint="eastAsia" w:ascii="Times New Roman" w:eastAsia="方正仿宋简体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微山县市场监督管理局</w:t>
      </w:r>
    </w:p>
    <w:p w14:paraId="3E180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87" w:bottom="1417" w:left="1587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</w:t>
      </w:r>
      <w:r>
        <w:rPr>
          <w:rFonts w:hint="eastAsia" w:ascii="Times New Roman" w:eastAsia="方正仿宋简体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2024年3月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日  </w:t>
      </w:r>
    </w:p>
    <w:p w14:paraId="60B8429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黑体简体" w:cs="Times New Roman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eastAsia="zh-CN"/>
        </w:rPr>
        <w:t>附件</w:t>
      </w:r>
    </w:p>
    <w:p w14:paraId="5EB5B4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微山县市场监督管理局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2024年度“双随机、一公开”抽查工作计划</w:t>
      </w:r>
    </w:p>
    <w:tbl>
      <w:tblPr>
        <w:tblStyle w:val="10"/>
        <w:tblW w:w="5955" w:type="pct"/>
        <w:tblInd w:w="-9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160"/>
        <w:gridCol w:w="2970"/>
        <w:gridCol w:w="3135"/>
        <w:gridCol w:w="1770"/>
        <w:gridCol w:w="1065"/>
        <w:gridCol w:w="2595"/>
        <w:gridCol w:w="795"/>
        <w:gridCol w:w="1140"/>
      </w:tblGrid>
      <w:tr w14:paraId="35F6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权责清单</w:t>
            </w:r>
          </w:p>
          <w:p w14:paraId="3C14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  <w:p w14:paraId="2EBB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责任</w:t>
            </w:r>
          </w:p>
          <w:p w14:paraId="73A5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科室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抽查比例及频次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42DF">
            <w:pPr>
              <w:keepNext w:val="0"/>
              <w:keepLines w:val="0"/>
              <w:widowControl/>
              <w:suppressLineNumbers w:val="0"/>
              <w:tabs>
                <w:tab w:val="left" w:pos="432"/>
              </w:tabs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检查</w:t>
            </w:r>
          </w:p>
          <w:p w14:paraId="6AD0666E">
            <w:pPr>
              <w:keepNext w:val="0"/>
              <w:keepLines w:val="0"/>
              <w:widowControl/>
              <w:suppressLineNumbers w:val="0"/>
              <w:tabs>
                <w:tab w:val="left" w:pos="432"/>
              </w:tabs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4452">
            <w:pPr>
              <w:keepNext w:val="0"/>
              <w:keepLines w:val="0"/>
              <w:widowControl/>
              <w:suppressLineNumbers w:val="0"/>
              <w:tabs>
                <w:tab w:val="left" w:pos="432"/>
              </w:tabs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检查主体</w:t>
            </w:r>
          </w:p>
        </w:tc>
      </w:tr>
      <w:tr w14:paraId="0F34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07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对市场主体名称等登记事项的检查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BF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营业执照（登记证）规范使用情况的检查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D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企业、个体工商户、农民专业合作社、外国企业常驻代表机构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信用监督管理科</w:t>
            </w:r>
          </w:p>
        </w:tc>
        <w:tc>
          <w:tcPr>
            <w:tcW w:w="8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7F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抽查比例为2%，个体工商户抽查比例为0.1%，农民专业合作社抽查比例为3%，外国企业常驻代表机构抽查比例为50%，抽查1次（对市场主体名称等登记事项的检查与对企业、个体工商户、农民专业合作社公示信息的监督检查合并抽取企业比例为1.5%）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30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71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259E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486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FCA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A8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名称规范使用情况的检查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06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企业、个体工商户、农民专业合作社、外国企业常驻代表机构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95C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6AA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C1A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9C7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CB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B798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A3E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11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经营（驻在）期限的检查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43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企业、个体工商户、农民专业合作社、外国企业常驻代表机构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C497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7B1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E57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3C6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99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3D0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349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8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经营（业务）范围中无需审批的经营（业务）项目的检查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71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企业、个体工商户、农民专业合作社、外国企业常驻代表机构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9B4E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23F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5A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C41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9C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7C1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907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E0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住所（经营场所）或驻在场所的检查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73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企业、个体工商户、农民专业合作社、外国企业常驻代表机构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0B9D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D71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503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E8A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9D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6A9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794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45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注册资本实缴情况的检查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7A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78CE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818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5DC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A08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D7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9D6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B4C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A4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法定代表人（负责人）任职情况的检查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1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CD08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5D5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3D9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1F4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C8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1A6E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75E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23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法定代表人、自然人股东身份真实性的检查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1B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7B1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F8B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352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CB2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EB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BB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对企业、个体工商户、农民专业合作社公示信息的监督检查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97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年度报告公示信息的检查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62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30D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B79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97B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E73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3E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1EF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063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E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即时公示信息的检查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3C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357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86F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DED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D8D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12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C3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“僵尸企业”检查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D3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长期停业未经营“黑名单”企业的检查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5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全县长期停业“黑名单”企业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信用监督管理科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0E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抽查比例为2%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91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7-12月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D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593B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38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对行政性、事业性收费的监督检查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79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对国家行政机关、国家授权行使行政职能的单位、事业单位收费情况的检查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4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公办高等专科学校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价格监督检查科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2E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抽查比例不低于5%，每年抽查1次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6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0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1E94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23F8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B67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0DC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98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县直机关及下属事业单位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65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抽查比例不低于5%，每年抽查1次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69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0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1544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E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对粮食经营活动中的价格违法行为的监督检查（部门联合抽查任务）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9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对粮食经营活动中的价格违法行为的监督检查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99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由粮食主管部门确定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59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抽查比例不低于5%（包含日常监督检查计划数量）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E1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99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190C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5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对价格行为的监督检查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2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对经营者价格行为的监督检查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3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停车场收费经营服务单位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1E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抽查比例不低于5%（包含日常监督检查计划数量）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1C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54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1070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65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对直销活动的监督检查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DC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对直销企业及其直销活动的监督检查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CE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省内注册的直销企业总公司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反不正当竞争科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27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按照《山东省直销企业信用风险分类管理办法（试行）》规定，风险等级A类的企业抽查比例为10%；风险等级B级的企业抽查比例为20%；风险等级C类的企业抽查比例为50%；风险等级D类的企业抽查比例为100%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F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7F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2182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10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对拍卖活动的监督检查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8E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拍卖活动经营资格的检查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2C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网络交易监督管理科</w:t>
            </w:r>
          </w:p>
        </w:tc>
        <w:tc>
          <w:tcPr>
            <w:tcW w:w="8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A9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抽查比例为5%，抽查1次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2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4-10月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7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52F8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773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96E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50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文物经营活动经营资格的检查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C7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791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C59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5D6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90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92F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0AA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0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为非法交易野生动物等违法行为提供交易服务的检查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B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A57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8B9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A97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CE5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C3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5A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广告的监督检查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2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5C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广告经营主体（企业、个体工商户）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广告监督管理科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8F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抽查比例3%，抽查1次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CA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4F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61ED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402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AB2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BC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55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已取得药品、医疗器械、保健食品、特殊医学用途配方食品广告审查批文的企业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922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4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抽查比例3%，抽查1次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F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A3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35CC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E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对工业产品生产许可证产品生产企业的监督检查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9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工业产品生产许可获证企业监督检查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43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工业产品获证生产企业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产品质量安全监督管理科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43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按照信用风险等级分类抽取，抽查比例为20%及以上；抽查频次原则上每年1次，可根据工作实际确定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48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6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2015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2CE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5A3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73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食品相关产品获证生产企业监督检查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C6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食品相关产品获证生产企业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3147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3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按照信用风险等级分类抽取，抽查比例为20%及以上；抽查频次原则上每年1次，可根据工作实际确定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3E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36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119A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12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对棉花、茧丝、毛绒、麻类纤维及纤维制品实施监督检查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4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棉花等纤维质量监督检查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84B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棉花等纤维收购、加工、销售、承储企业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A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AE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按照信用风险等级分类抽取，抽查比例为20%及以上；抽查频次原则上每年1次，可根据工作实际确定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2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54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4B89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0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产品质量安全监督管理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A3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流通领域成品油产品质量监督抽查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9E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成品油经营单位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1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7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产品质量安全监督管理科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F6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加油站（船）、油品仓储和批发企业成品油和车用尿素100%全覆盖监督抽检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7C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1—12月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33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5386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5D1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0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对燃气具（燃气灶具、连接软管、燃气调压器）销售企业的监督检查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D0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燃气具（燃气灶具、连接软管、燃气调压器）销售企业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D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BE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按照信用风险分类抽取，企业抽查比例为20%以上（含20%），抽查频次原则上每年1次，可根据工作实际确定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B1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3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0356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971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49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对烟花爆竹销售企业的监督检查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D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烟花爆竹销售企业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A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56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烟花爆竹销售企业100%全覆盖监督检查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2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0D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29A7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E68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62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对儿童和学生用品（玩具、文具）销售企业的监督检查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5F8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儿童和学生用品销售企业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F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按照信用风险分类抽取，企业抽查比例为0.5%以上（含0.5%），抽查频次原则上每年1次，可根据工作实际确定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F3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86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7923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B11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BD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对电动自行车销售企业的监督检查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FA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电动自行车销售企业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D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8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0A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按照信用风险分类抽取，企业抽查比例为20%以上（含20%），抽查频次原则上每年1次，可根据工作实际确定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00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61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3D37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C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对食品安全的监督检查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24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对食品（含食品添加剂，不含特殊食品）生产企业的行政检查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A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获证食品（含食品添加剂，不含特殊食品）生产企业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食品生产安全监督管理科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B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抽查比例为0.5%，抽查1次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FE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4-10月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F1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52FD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7B9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6FA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57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对食品小作坊的行政检查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2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登记的食品小作坊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14534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7A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抽查比例为0.5%，抽查1次</w:t>
            </w: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C4F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A58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0A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83CA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474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9F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对食品销售者的监督检查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CD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食品安全风险等级为B级的食品销售者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27C7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B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抽查比例为0.5%，抽查1次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E1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8D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3F4D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B2B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BDA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2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对生产环节的保健食品、特殊医学用途配方食品、婴幼儿配方食品等特殊食品食品安全的监督检查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12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CF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抽查比例为5%，抽查1次，其中D级1家，剩余B、C级抽取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4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3A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518D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FC9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A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对经营环节的保健食品、特殊医学用途配方食品、婴幼儿配方食品等特殊食品食品安全的监督检查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A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70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企业抽查比例为1%，每年抽查1次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23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3-10月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23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29EF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136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F68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23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对餐饮服务经营者的行政检查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F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风险分级为D级的餐饮服务经营者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餐饮服务食品安全监督管理科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4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抽查比例为0.5%，抽查1次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7A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3A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74B3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B6F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070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C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对小餐饮食品安全的监管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F8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小餐饮经营者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1CFA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7F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抽查比例为0.1%，抽查1次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A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56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4293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235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26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餐饮食品安全监督检查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2E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餐饮服务经营者（含入网餐饮服务提供者，不含集体用餐配送单位、中央厨房）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A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按照信用风险分类抽取，抽查比例为0.02%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1A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3-6月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C5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480A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E20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8EF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9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学校、养老机构、建筑工地、医院食堂、中央厨房、集体配送餐等特定餐饮服务提供者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8D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按照信用风险分类抽取，抽查比例为1%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2D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3-6月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F0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5E04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73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对制造、修理、销售、进口和使用计量器具，以及计量检定等相关计量活动的监督检查（对社会公用计量标准的监督管理）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16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在用计量器具监督检查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6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计量和标准化科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7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抽查比例为4%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D4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E3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319B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EA4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022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35C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E5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使用安全防护工作计量器具的企业　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287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9E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抽查比例为5%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45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50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67F6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1D0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B56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5A2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6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粮食购销领域有关单位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AB4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5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抽查比例为5%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69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00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16E6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7F1E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701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B74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84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加油站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C51A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BC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抽查比例为10%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0B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23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7BC3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5C3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91D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602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1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眼镜制配场所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815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5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抽查比例为7%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7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9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397E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0634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FDD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158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70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集贸市场和商场、超市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44DE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B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抽查比例为5%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3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8D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3323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27F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15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型式批准监督检查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61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市内获得水表型式批准证书的生产企业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6E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抽查比例为20%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A1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3-11月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11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5167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F4C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837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F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市内获得有毒有害气体检测（报警）仪型式批准证书的生产企业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5A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抽查比例为50%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48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3-11月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B9B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AF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5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对能源计量进行监督管理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0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能效标识计量专项监督检查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7D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省内应实行能效标识管理的产品的生产企业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9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生产企业抽查比例为10%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52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E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230F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CE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对水效标识进行监督检查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F6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水效标识计量专项监督检查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CE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省内应实行水效标识管理的产品的生产企业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39C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03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生产企业抽查比例为10%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23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8C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3FFD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14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对商品量计量和市场计量行为的监督检查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65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定量包装商品净含量国家计量监督专项抽查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3F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省内定量包装商品生产企业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1DD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43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抽查比例为2%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A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3F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6A65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9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对推行法定计量单位监督检查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92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计量单位使用情况专项监督检查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3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省内综合类报纸、产品标签标识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A82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85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抽查比例为2%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B9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AD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212E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C2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对计量技术机构的监督管理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D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法定计量检定机构专项监督检查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90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省级依法授权法定计量检定机构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计量和标准化科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08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抽查比例为10%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B6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25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6CFB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54F1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6BF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B45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1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各级专项计量授权机构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0E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抽查比例为20%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ED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8C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77EC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34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地方标准监督检查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DD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地方标准监督检查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27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计量和标准化科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4E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抽查比例不低于5%，每年抽查1次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19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D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606B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86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团体标准监督检查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5C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社会团体自我声明公开标准的监督抽查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5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84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团体自我声明公开标准抽查比例为3%，抽查1次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64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09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0B1E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32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企业标准监督检查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3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企业自我声明公开执行标准的监督抽查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72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0E5D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28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企业自我声明公开执行标准抽查比例为1%，抽查1次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04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E8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1495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3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资质认定检验检测机构监督检查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0D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资质认定检验检测机构监督检查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6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资质认定检验检测机构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产品质量安全监督管理科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59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抽查比例为8%，每年抽查1次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75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0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592C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3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对认证活动监督检查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80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自愿性认证活动监督检查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6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认证机构、获证组织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36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抽查比例根据监管实际确定，抽查1次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3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71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3B28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1A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E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强制性产品认证活动监督检查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F3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认证机构、获证组织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5C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抽查比例根据监管实际确定，每年抽查1次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CC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E7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1E35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B0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对专利代理机构和专利代理师的执业活动进行检查、监督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3E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专利代理机构主体资格和执业资质检查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66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知识产权科</w:t>
            </w:r>
          </w:p>
        </w:tc>
        <w:tc>
          <w:tcPr>
            <w:tcW w:w="8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B2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按照信用风险分类抽取，专利代理机构（含分支机构）抽查比例为100%（律师事务所除外），抽查1次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22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3-11月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69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协助完成省、市级市场监管部门发起的任务；县级市场监管部门自行发起</w:t>
            </w:r>
          </w:p>
        </w:tc>
      </w:tr>
      <w:tr w14:paraId="59B0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21A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CB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专利代理机构设立、变更、注销办事机构情况的检查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F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486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EA1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03B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93E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10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844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46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专利代理机构、专利代理师执业行为检查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0C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专利代理机构、专利代理人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CE6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365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CAB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BE2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0A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17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商标代理行为的检查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74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商标代理机构执业情况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76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经市场监管部门登记从事商标代理业务的服务机构（所）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99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按照信用风险分类抽取，抽查比例为50%，抽查1次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AB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C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23F7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D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9F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专利代理机构年度报告和信息公示情况核查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5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专利代理机构（含分支机构）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4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专利代理机构10家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C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5-9月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CB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6A5A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73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商标使用行为的监督检查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F9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商标印制行为的检查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67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知识产权科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21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按照信用风险分类抽取，企业抽查比例为4%，个体户抽查比例为0.1%，农民专业合作社抽查比例为1%，抽查2次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39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3-11月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9D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2C06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3D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地理标志专用标志使用行为的检查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E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地理标志专用标志使用行为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74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核准使用地理标志专用标志的企业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8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52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按照信用风险分类抽取，抽查比例为50%，抽查1次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C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3-10月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A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  <w:tr w14:paraId="7323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A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奥林匹克标志使用行为的检查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73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奥林匹克标志使用行为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69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食品饮料、文体用品、服装鞋帽、冰雪装备器材等领域，酒类、纪念品、玩具等商品类别的生产、销售企业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5C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EB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按照信用风险分类抽取，抽查比例为10%，抽查1次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1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9E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</w:tr>
    </w:tbl>
    <w:p w14:paraId="771484F9">
      <w:pPr>
        <w:pStyle w:val="5"/>
        <w:rPr>
          <w:rFonts w:hint="eastAsia"/>
          <w:sz w:val="22"/>
          <w:szCs w:val="22"/>
        </w:rPr>
      </w:pPr>
    </w:p>
    <w:sectPr>
      <w:pgSz w:w="16838" w:h="11906" w:orient="landscape"/>
      <w:pgMar w:top="1587" w:right="2098" w:bottom="158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FB787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C02FA">
                          <w:pPr>
                            <w:pStyle w:val="8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DC02FA">
                    <w:pPr>
                      <w:pStyle w:val="8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6422E8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CE850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ZDNhZDkyYTQ0ODVhOTQ3ZTUxZWFhNGM3YTQ4NjEifQ=="/>
    <w:docVar w:name="KSO_WPS_MARK_KEY" w:val="fa3e2ca0-2ef4-4d65-91d9-0764d8f948ca"/>
  </w:docVars>
  <w:rsids>
    <w:rsidRoot w:val="008C1EFA"/>
    <w:rsid w:val="00001318"/>
    <w:rsid w:val="00020B78"/>
    <w:rsid w:val="000B5026"/>
    <w:rsid w:val="00173D1B"/>
    <w:rsid w:val="001A28CD"/>
    <w:rsid w:val="001C2CEB"/>
    <w:rsid w:val="001C50C2"/>
    <w:rsid w:val="001F1E4A"/>
    <w:rsid w:val="002B1B69"/>
    <w:rsid w:val="002E6A31"/>
    <w:rsid w:val="00316583"/>
    <w:rsid w:val="00391D97"/>
    <w:rsid w:val="003A2F4C"/>
    <w:rsid w:val="003B77C4"/>
    <w:rsid w:val="004314AE"/>
    <w:rsid w:val="004B2D44"/>
    <w:rsid w:val="00513A59"/>
    <w:rsid w:val="005F1582"/>
    <w:rsid w:val="005F3508"/>
    <w:rsid w:val="00607CB7"/>
    <w:rsid w:val="00620DE6"/>
    <w:rsid w:val="00660058"/>
    <w:rsid w:val="00660187"/>
    <w:rsid w:val="006D2496"/>
    <w:rsid w:val="0072018F"/>
    <w:rsid w:val="007900EA"/>
    <w:rsid w:val="0079163A"/>
    <w:rsid w:val="00867C6A"/>
    <w:rsid w:val="008C1EFA"/>
    <w:rsid w:val="00911EE4"/>
    <w:rsid w:val="009E6705"/>
    <w:rsid w:val="00A07A1E"/>
    <w:rsid w:val="00A37B01"/>
    <w:rsid w:val="00A42EE4"/>
    <w:rsid w:val="00A4760F"/>
    <w:rsid w:val="00A6012F"/>
    <w:rsid w:val="00B63BC1"/>
    <w:rsid w:val="00B64BE1"/>
    <w:rsid w:val="00B902BF"/>
    <w:rsid w:val="00BD4FF7"/>
    <w:rsid w:val="00BF64FF"/>
    <w:rsid w:val="00C37647"/>
    <w:rsid w:val="00CB36D2"/>
    <w:rsid w:val="00CB7F84"/>
    <w:rsid w:val="00D472EF"/>
    <w:rsid w:val="00D61FC0"/>
    <w:rsid w:val="00D72717"/>
    <w:rsid w:val="00DF65A6"/>
    <w:rsid w:val="00E02F7B"/>
    <w:rsid w:val="00E92856"/>
    <w:rsid w:val="00EC3F51"/>
    <w:rsid w:val="00EE006F"/>
    <w:rsid w:val="07D85CEA"/>
    <w:rsid w:val="086C4F54"/>
    <w:rsid w:val="0DCD726B"/>
    <w:rsid w:val="0DFF273F"/>
    <w:rsid w:val="0F065ECD"/>
    <w:rsid w:val="0FFF7ABE"/>
    <w:rsid w:val="110A6A96"/>
    <w:rsid w:val="134D62C6"/>
    <w:rsid w:val="14D735AE"/>
    <w:rsid w:val="1A9D7FC6"/>
    <w:rsid w:val="1AE2543D"/>
    <w:rsid w:val="1B0167A6"/>
    <w:rsid w:val="2262063B"/>
    <w:rsid w:val="288C59FE"/>
    <w:rsid w:val="2C712CFD"/>
    <w:rsid w:val="2CA43435"/>
    <w:rsid w:val="2F850666"/>
    <w:rsid w:val="31921F5E"/>
    <w:rsid w:val="35001098"/>
    <w:rsid w:val="35F77EE0"/>
    <w:rsid w:val="3AB36A97"/>
    <w:rsid w:val="3F246C87"/>
    <w:rsid w:val="40945004"/>
    <w:rsid w:val="40F622C6"/>
    <w:rsid w:val="44B4620C"/>
    <w:rsid w:val="48A0489A"/>
    <w:rsid w:val="495010D7"/>
    <w:rsid w:val="4ABF3A9E"/>
    <w:rsid w:val="4B58337A"/>
    <w:rsid w:val="54280325"/>
    <w:rsid w:val="59556376"/>
    <w:rsid w:val="5D656145"/>
    <w:rsid w:val="61864290"/>
    <w:rsid w:val="654F3925"/>
    <w:rsid w:val="65833F6B"/>
    <w:rsid w:val="68B946CD"/>
    <w:rsid w:val="73FB2F08"/>
    <w:rsid w:val="74B41F68"/>
    <w:rsid w:val="74FD05BA"/>
    <w:rsid w:val="7A460C55"/>
    <w:rsid w:val="7BD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Normal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6">
    <w:name w:val="Body Text"/>
    <w:basedOn w:val="1"/>
    <w:link w:val="14"/>
    <w:qFormat/>
    <w:uiPriority w:val="1"/>
    <w:pPr>
      <w:autoSpaceDE w:val="0"/>
      <w:autoSpaceDN w:val="0"/>
      <w:adjustRightInd w:val="0"/>
      <w:ind w:left="111" w:firstLine="640"/>
      <w:jc w:val="left"/>
    </w:pPr>
    <w:rPr>
      <w:rFonts w:ascii="Arial Unicode MS" w:eastAsia="Arial Unicode MS" w:cs="Arial Unicode MS"/>
      <w:kern w:val="0"/>
      <w:szCs w:val="32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2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正文文本 Char"/>
    <w:basedOn w:val="11"/>
    <w:link w:val="6"/>
    <w:qFormat/>
    <w:uiPriority w:val="1"/>
    <w:rPr>
      <w:rFonts w:ascii="Arial Unicode MS" w:hAnsi="Times New Roman" w:eastAsia="Arial Unicode MS" w:cs="Arial Unicode MS"/>
      <w:sz w:val="32"/>
      <w:szCs w:val="32"/>
    </w:rPr>
  </w:style>
  <w:style w:type="character" w:customStyle="1" w:styleId="15">
    <w:name w:val="批注框文本 Char"/>
    <w:basedOn w:val="11"/>
    <w:link w:val="7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12</Pages>
  <Words>6229</Words>
  <Characters>6536</Characters>
  <Lines>7</Lines>
  <Paragraphs>2</Paragraphs>
  <TotalTime>0</TotalTime>
  <ScaleCrop>false</ScaleCrop>
  <LinksUpToDate>false</LinksUpToDate>
  <CharactersWithSpaces>6627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2024-03-28T05:55:00Z</dcterms:created>
  <dc:creator>sdgs</dc:creator>
  <cp:lastModifiedBy>wsxscjg</cp:lastModifiedBy>
  <cp:lastPrinted>2024-03-28T06:54:00Z</cp:lastPrinted>
  <dcterms:modified xsi:type="dcterms:W3CDTF">2024-09-05T02:45:02Z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47E659EE62C54C8BBCE2BAECC0F7736E_13</vt:lpwstr>
  </property>
</Properties>
</file>