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09" w:lineRule="exact"/>
        <w:ind w:left="405" w:right="0" w:firstLine="0"/>
        <w:jc w:val="center"/>
        <w:rPr>
          <w:rFonts w:hint="eastAsia" w:ascii="方正小标宋简体" w:eastAsia="方正小标宋简体"/>
          <w:b/>
          <w:i w:val="0"/>
          <w:iCs/>
          <w:sz w:val="43"/>
        </w:rPr>
      </w:pPr>
      <w:r>
        <w:rPr>
          <w:rFonts w:hint="eastAsia" w:ascii="方正小标宋简体" w:eastAsia="方正小标宋简体"/>
          <w:b/>
          <w:i w:val="0"/>
          <w:iCs/>
          <w:sz w:val="43"/>
        </w:rPr>
        <w:t>微山县高楼乡 202</w:t>
      </w:r>
      <w:r>
        <w:rPr>
          <w:rFonts w:hint="eastAsia" w:ascii="方正小标宋简体" w:eastAsia="方正小标宋简体"/>
          <w:b/>
          <w:i w:val="0"/>
          <w:iCs/>
          <w:sz w:val="43"/>
          <w:lang w:val="en-US" w:eastAsia="zh-CN"/>
        </w:rPr>
        <w:t>2</w:t>
      </w:r>
      <w:r>
        <w:rPr>
          <w:rFonts w:hint="eastAsia" w:ascii="方正小标宋简体" w:eastAsia="方正小标宋简体"/>
          <w:b/>
          <w:i w:val="0"/>
          <w:iCs/>
          <w:sz w:val="43"/>
        </w:rPr>
        <w:t>年政府信息公开工作</w:t>
      </w:r>
    </w:p>
    <w:p>
      <w:pPr>
        <w:spacing w:before="0" w:line="709" w:lineRule="exact"/>
        <w:ind w:left="405" w:right="0" w:firstLine="0"/>
        <w:jc w:val="center"/>
        <w:rPr>
          <w:rFonts w:hint="eastAsia" w:ascii="方正小标宋简体" w:eastAsia="方正小标宋简体"/>
          <w:b/>
          <w:i w:val="0"/>
          <w:iCs/>
          <w:sz w:val="43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i w:val="0"/>
          <w:iCs/>
          <w:sz w:val="43"/>
        </w:rPr>
        <w:t>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4" w:lineRule="atLeast"/>
        <w:ind w:left="240" w:right="106" w:firstLine="645"/>
        <w:jc w:val="left"/>
        <w:rPr>
          <w:color w:val="333333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</w:rPr>
        <w:t>本报告由高楼乡人民政府按照《中华人民共和国政府信息公开条例》（以下简称《条例》）和《中华人民共和国政府信息公开工作年度报告格式》（国办公开办函〔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</w:rPr>
        <w:t>2021〕30号）要求编制。 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4" w:lineRule="atLeast"/>
        <w:ind w:left="240" w:right="106" w:firstLine="645"/>
        <w:jc w:val="left"/>
        <w:rPr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4" w:lineRule="atLeast"/>
        <w:ind w:left="240" w:right="106" w:firstLine="645"/>
        <w:jc w:val="left"/>
        <w:rPr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</w:rPr>
        <w:t>本报告中所列数据的统计期限自 2022 年 1 月 1 日起至2022 年 12 月 31 日止。本报告电子版可在“中国·济宁”政府门户网站（具体网址）查阅或下载。如对本报告存在任何疑问，请联系高楼乡人民政府（地址：高楼乡兴湖路001号，电话 0537-8381002）。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43"/>
          <w:szCs w:val="43"/>
        </w:rPr>
      </w:pPr>
      <w:r>
        <w:rPr>
          <w:rStyle w:val="7"/>
          <w:rFonts w:ascii="黑体" w:hAnsi="宋体" w:eastAsia="黑体" w:cs="黑体"/>
          <w:b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4" w:lineRule="atLeast"/>
        <w:ind w:left="0" w:right="106" w:firstLine="585"/>
        <w:jc w:val="left"/>
        <w:rPr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</w:rPr>
        <w:t>今年以来，我乡在县委、县政府的正确领导下，全面贯彻落实《条例》及《办法》精神，坚持以公开为常态、不公开为例外，加强领导、明确责任，及时部署、健全制度，推进决策、执行、管理、服务、结果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五公开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，积极回应公众关切，有序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</w:rPr>
        <w:t>推进政府信息公开工作，确保本年度政府信息公开各项任务落实到位，依法保障人民群众的知情权、参与权和监督权。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7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（一）主动公开情况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2022年，高楼乡进一步提高认识，切实增强做好政务公开工作的迫切感，明确任务和重点，注重发挥政务公开的综合效能，扎实推进政务公开工作，不断提高政务公开工作质量和水平。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406" w:right="0" w:firstLine="195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（二）依申请公开情况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2022年我乡未收到依申请公开件。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406" w:right="0" w:firstLine="195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（三）政府信息管理情况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严格按照《条例》和县政府总体要求,进一步加强信息公开工作,力争在规范化、制度化、程序化等方面取得新的进展,在创新思路、完善工作平台上取得新的突破。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（四）政府信息公开平台建设情况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2022年，高楼乡进一步围绕群众关切,突出公开重点,不断完善工作动态公告体系，同时根据政务公开标准指引和目录规范，全面排查信息公开中存在的问题，并认真做好整改，常态、长效加强管理，全面提升公开质量，推动政务公开工作上台阶、上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（五）监督保障情况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高楼乡重点以《条例》实施为落脚点，严格全乡2022年度政府信息公开工作考核，强化激励和问责，对政务公开工作落实好的，按照有关规定予以表彰；对公开工作落实不到位的，予以通报批评；对违反政务公开有关规定、不履行公开义务或公开不应当公开事项，并造成严重影响的，依法依规严肃追究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4" w:lineRule="atLeast"/>
        <w:ind w:left="0" w:right="106" w:firstLine="615"/>
        <w:jc w:val="left"/>
        <w:rPr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43"/>
          <w:szCs w:val="43"/>
        </w:rPr>
      </w:pPr>
      <w:r>
        <w:rPr>
          <w:rStyle w:val="7"/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6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7"/>
          <w:szCs w:val="7"/>
          <w:bdr w:val="none" w:color="auto" w:sz="0" w:space="0"/>
        </w:rPr>
        <w:t> </w:t>
      </w:r>
    </w:p>
    <w:tbl>
      <w:tblPr>
        <w:tblW w:w="0" w:type="auto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1845"/>
        <w:gridCol w:w="1800"/>
        <w:gridCol w:w="18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195" w:right="318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本年制发件数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本年废止件数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行政规范性文件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13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195" w:right="318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553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55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13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195" w:right="318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553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55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  <w:r>
              <w:rPr>
                <w:color w:val="333333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55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13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195" w:right="318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900" w:right="88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1350" w:right="133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450" w:lineRule="atLeast"/>
              <w:ind w:left="105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55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315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0" w:beforeAutospacing="0" w:after="0" w:afterAutospacing="0" w:line="450" w:lineRule="atLeast"/>
        <w:ind w:left="0" w:right="0" w:firstLine="61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6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7"/>
          <w:szCs w:val="7"/>
          <w:bdr w:val="none" w:color="auto" w:sz="0" w:space="0"/>
        </w:rPr>
        <w:t> </w:t>
      </w:r>
    </w:p>
    <w:tbl>
      <w:tblPr>
        <w:tblW w:w="0" w:type="auto"/>
        <w:tblCellSpacing w:w="0" w:type="dxa"/>
        <w:tblInd w:w="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235"/>
        <w:gridCol w:w="1831"/>
        <w:gridCol w:w="765"/>
        <w:gridCol w:w="701"/>
        <w:gridCol w:w="701"/>
        <w:gridCol w:w="762"/>
        <w:gridCol w:w="890"/>
        <w:gridCol w:w="669"/>
        <w:gridCol w:w="6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333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150" w:right="1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190" w:type="dxa"/>
            <w:gridSpan w:val="7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2115" w:right="207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333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285" w:right="16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750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215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15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333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165" w:right="13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165" w:right="13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76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0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180" w:right="15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67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50" w:lineRule="atLeast"/>
              <w:ind w:left="135" w:right="10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3330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5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330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5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305" w:lineRule="atLeast"/>
              <w:ind w:left="120" w:right="7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705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（二</w:t>
            </w:r>
            <w:r>
              <w:rPr>
                <w:rFonts w:hint="eastAsia" w:ascii="宋体" w:hAnsi="宋体" w:eastAsia="宋体" w:cs="宋体"/>
                <w:color w:val="333333"/>
                <w:spacing w:val="-30"/>
                <w:sz w:val="19"/>
                <w:szCs w:val="19"/>
                <w:bdr w:val="none" w:color="auto" w:sz="0" w:space="0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pacing w:val="-15"/>
                <w:sz w:val="19"/>
                <w:szCs w:val="19"/>
                <w:bdr w:val="none" w:color="auto" w:sz="0" w:space="0"/>
              </w:rPr>
              <w:t>部分公开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19"/>
                <w:szCs w:val="19"/>
                <w:bdr w:val="none" w:color="auto" w:sz="0" w:space="0"/>
              </w:rPr>
              <w:t>区分处理的， </w:t>
            </w:r>
            <w:r>
              <w:rPr>
                <w:rFonts w:hint="eastAsia" w:ascii="宋体" w:hAnsi="宋体" w:eastAsia="宋体" w:cs="宋体"/>
                <w:color w:val="333333"/>
                <w:spacing w:val="-15"/>
                <w:sz w:val="19"/>
                <w:szCs w:val="19"/>
                <w:bdr w:val="none" w:color="auto" w:sz="0" w:space="0"/>
              </w:rPr>
              <w:t>只计这一情形，不计其他情形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150" w:right="1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（三） 不予公开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12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属于国家秘密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其他法律行政法规禁止公开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18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4.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保护第三方合法权益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5.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属于三类内部事务信息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6.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属于四类过程性信息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7.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属于行政执法案卷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8.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属于行政查询事项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05" w:lineRule="atLeast"/>
              <w:ind w:left="150" w:right="1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（四） 无法提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本机关不掌握相关政府信息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0" w:type="auto"/>
        <w:tblCellSpacing w:w="0" w:type="dxa"/>
        <w:tblInd w:w="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235"/>
        <w:gridCol w:w="1871"/>
        <w:gridCol w:w="758"/>
        <w:gridCol w:w="699"/>
        <w:gridCol w:w="699"/>
        <w:gridCol w:w="758"/>
        <w:gridCol w:w="891"/>
        <w:gridCol w:w="669"/>
        <w:gridCol w:w="6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00" w:type="dxa"/>
            <w:vMerge w:val="restart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vMerge w:val="restart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供</w:t>
            </w:r>
          </w:p>
        </w:tc>
        <w:tc>
          <w:tcPr>
            <w:tcW w:w="187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没有现成信息需要另行制作</w:t>
            </w:r>
          </w:p>
        </w:tc>
        <w:tc>
          <w:tcPr>
            <w:tcW w:w="76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补正后申请内容仍不明确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305" w:lineRule="atLeast"/>
              <w:ind w:left="150" w:right="1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（五） 不予处理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信访举报投诉类申请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2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重复申请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要求提供公开出版物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7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4.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无正当理由大量反复申请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5" w:lineRule="atLeast"/>
              <w:ind w:left="120" w:right="22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5.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705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90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333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63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50" w:lineRule="atLeast"/>
              <w:ind w:left="45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0" w:beforeAutospacing="0" w:after="0" w:afterAutospacing="0" w:line="450" w:lineRule="atLeast"/>
        <w:ind w:left="660" w:right="0" w:firstLine="0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6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</w:rPr>
        <w:t> </w:t>
      </w:r>
    </w:p>
    <w:tbl>
      <w:tblPr>
        <w:tblW w:w="0" w:type="auto"/>
        <w:tblCellSpacing w:w="0" w:type="dxa"/>
        <w:tblInd w:w="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570"/>
        <w:gridCol w:w="570"/>
        <w:gridCol w:w="570"/>
        <w:gridCol w:w="630"/>
        <w:gridCol w:w="535"/>
        <w:gridCol w:w="570"/>
        <w:gridCol w:w="570"/>
        <w:gridCol w:w="570"/>
        <w:gridCol w:w="585"/>
        <w:gridCol w:w="570"/>
        <w:gridCol w:w="570"/>
        <w:gridCol w:w="570"/>
        <w:gridCol w:w="570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8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035" w:right="100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5655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2430" w:right="240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55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195" w:right="15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7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3" w:lineRule="atLeast"/>
              <w:ind w:left="225" w:right="19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645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2850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96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</w:trPr>
        <w:tc>
          <w:tcPr>
            <w:tcW w:w="55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5" w:lineRule="atLeast"/>
              <w:ind w:left="180" w:right="15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5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05" w:lineRule="atLeast"/>
              <w:ind w:left="195" w:right="16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5" w:lineRule="atLeast"/>
              <w:ind w:left="195" w:right="165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5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05" w:lineRule="atLeast"/>
              <w:ind w:left="210" w:right="165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50" w:lineRule="atLeast"/>
              <w:ind w:left="12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450" w:lineRule="atLeast"/>
        <w:ind w:left="660" w:right="0" w:firstLine="0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450" w:lineRule="atLeast"/>
        <w:ind w:left="660" w:right="0"/>
        <w:jc w:val="left"/>
        <w:rPr>
          <w:color w:val="333333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（一）存在的主要问题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450" w:lineRule="atLeast"/>
        <w:ind w:left="6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bdr w:val="none" w:color="auto" w:sz="0" w:space="0"/>
        </w:rPr>
        <w:t>、信息公开工作缺乏专职人员，目前仅为办公室人员兼职；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4" w:lineRule="atLeast"/>
        <w:ind w:left="240" w:right="21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2、信息公开的时效性有待加强。目前部分信息公开仍存在滞后问题。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（二）下步工作改进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4" w:lineRule="atLeast"/>
        <w:ind w:left="240" w:right="21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1、加强人员配备。争取做到专人专职，持续加强内部培训指导和管理，提高信息公开的水平。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4" w:lineRule="atLeast"/>
        <w:ind w:left="660" w:right="21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2、提高信息公开的准确性，及时更新信息动态，确保公开的内容和时效。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450" w:lineRule="atLeast"/>
        <w:ind w:left="6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（一）收取信息处理费情况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本年度我乡信息处理费收取金额为0。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（二）落实上年度政务公开工作要点情况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积极回应社会关切，更好地保障人民群众知情权、参与权、表达权、监督权。加大政府信息主动规范公开力度，按照最新的基层标准化规范化考核要求，结合我乡实际，进一步做细做实。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（三）人大代表建议和政协提案办理结果情况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2022年高楼乡收到人大建议20件，在规定期限内办复完毕20件。2022年未收到政协提案信息。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（四）本行政机关年度政务公开工作创新情况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高楼乡坚持在创新中求发展。充分发挥互联网传播快、效率高、受众广的优势，利用微信群、政务公开网站、新媒体，加大信息公开力度，不断增强政府工作透明度，切实保障群众对政府工作的知情权。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（五）本行政机关政府信息公开工作年度报告数据统计需要说明的事项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本报告所列数据的统计期限自2022年1月1日起至2022年12月31日止。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（六）本行政机关认为需要报告的其他事项；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（七）</w:t>
      </w:r>
      <w:r>
        <w:rPr>
          <w:rStyle w:val="7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其他有关文件专门要求通过政府信息公开工作年度报告予以报告。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5355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60"/>
          <w:sz w:val="31"/>
          <w:szCs w:val="31"/>
          <w:bdr w:val="none" w:color="auto" w:sz="0" w:space="0"/>
        </w:rPr>
        <w:t>年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5"/>
          <w:sz w:val="31"/>
          <w:szCs w:val="31"/>
          <w:bdr w:val="none" w:color="auto" w:sz="0" w:space="0"/>
        </w:rPr>
        <w:t>月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5"/>
          <w:sz w:val="31"/>
          <w:szCs w:val="31"/>
          <w:bdr w:val="none" w:color="auto" w:sz="0" w:space="0"/>
        </w:rPr>
        <w:t> 日</w:t>
      </w:r>
    </w:p>
    <w:p>
      <w:pPr>
        <w:pStyle w:val="3"/>
        <w:ind w:left="5354"/>
      </w:pPr>
    </w:p>
    <w:sectPr>
      <w:pgSz w:w="11910" w:h="16840"/>
      <w:pgMar w:top="1500" w:right="154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4AD35-C45B-4F9F-95AC-9209C685DD7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1A8B02-CDA6-4F76-9346-D7DCB4BFE2B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EB5E8C3-04CD-42C7-82D7-52266880F1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219367-FDCB-4555-BE14-D12EF90A487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F34B155B-C345-4378-85D5-3AB614872F0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EA300446-F241-4EC4-A248-6BD6FA359A4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zNmNjE1NDllZGUyNGE3NGE5OTc2NmZkMTA1MGQifQ=="/>
  </w:docVars>
  <w:rsids>
    <w:rsidRoot w:val="00000000"/>
    <w:rsid w:val="14AD3601"/>
    <w:rsid w:val="19FF300F"/>
    <w:rsid w:val="1C246D72"/>
    <w:rsid w:val="25D54AB7"/>
    <w:rsid w:val="329E6E81"/>
    <w:rsid w:val="336E6EFA"/>
    <w:rsid w:val="35577297"/>
    <w:rsid w:val="461C2348"/>
    <w:rsid w:val="4DF0191B"/>
    <w:rsid w:val="58D53664"/>
    <w:rsid w:val="632950E8"/>
    <w:rsid w:val="708378E3"/>
    <w:rsid w:val="71A2487A"/>
    <w:rsid w:val="795C61F7"/>
    <w:rsid w:val="7D877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60"/>
      <w:outlineLvl w:val="1"/>
    </w:pPr>
    <w:rPr>
      <w:rFonts w:ascii="黑体" w:hAnsi="黑体" w:eastAsia="黑体" w:cs="黑体"/>
      <w:b/>
      <w:bCs/>
      <w:sz w:val="31"/>
      <w:szCs w:val="3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2322</Words>
  <Characters>2398</Characters>
  <TotalTime>9</TotalTime>
  <ScaleCrop>false</ScaleCrop>
  <LinksUpToDate>false</LinksUpToDate>
  <CharactersWithSpaces>2496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2021-05-26T01:56:00Z</dcterms:created>
  <dc:creator>毛毛舞蹈用品店</dc:creator>
  <cp:lastModifiedBy>毛毛0626</cp:lastModifiedBy>
  <dcterms:modified xsi:type="dcterms:W3CDTF">2023-02-06T02:27:09Z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A6A3AB0420844A93B039470F9C4F90E1</vt:lpwstr>
  </property>
</Properties>
</file>