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微山县留庄镇</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2022</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年政府信息公开</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工作年度报告</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仿宋" w:cs="Times New Roman"/>
          <w:b w:val="0"/>
          <w:bCs/>
          <w:color w:val="000000" w:themeColor="text1"/>
          <w:sz w:val="32"/>
          <w:szCs w:val="32"/>
          <w14:textFill>
            <w14:solidFill>
              <w14:schemeClr w14:val="tx1"/>
            </w14:solidFill>
          </w14:textFill>
        </w:rPr>
        <w:t>本报告由</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微山县留庄镇人民政府</w:t>
      </w:r>
      <w:r>
        <w:rPr>
          <w:rFonts w:hint="default" w:ascii="Times New Roman" w:hAnsi="Times New Roman" w:eastAsia="仿宋" w:cs="Times New Roman"/>
          <w:b w:val="0"/>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202</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b w:val="0"/>
          <w:bCs/>
          <w:color w:val="000000" w:themeColor="text1"/>
          <w:sz w:val="32"/>
          <w:szCs w:val="32"/>
          <w14:textFill>
            <w14:solidFill>
              <w14:schemeClr w14:val="tx1"/>
            </w14:solidFill>
          </w14:textFill>
        </w:rPr>
        <w:t>〕30号）要求编制。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仿宋" w:cs="Times New Roman"/>
          <w:b w:val="0"/>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仿宋" w:cs="Times New Roman"/>
          <w:b w:val="0"/>
          <w:bCs/>
          <w:color w:val="000000" w:themeColor="text1"/>
          <w:sz w:val="32"/>
          <w:szCs w:val="32"/>
          <w14:textFill>
            <w14:solidFill>
              <w14:schemeClr w14:val="tx1"/>
            </w14:solidFill>
          </w14:textFill>
        </w:rPr>
        <w:t>本报告所列数据的统计期限自</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2022</w:t>
      </w:r>
      <w:r>
        <w:rPr>
          <w:rFonts w:hint="default" w:ascii="Times New Roman" w:hAnsi="Times New Roman" w:eastAsia="仿宋" w:cs="Times New Roman"/>
          <w:b w:val="0"/>
          <w:bCs/>
          <w:color w:val="000000" w:themeColor="text1"/>
          <w:sz w:val="32"/>
          <w:szCs w:val="32"/>
          <w14:textFill>
            <w14:solidFill>
              <w14:schemeClr w14:val="tx1"/>
            </w14:solidFill>
          </w14:textFill>
        </w:rPr>
        <w:t>年1月1日起至</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2022</w:t>
      </w:r>
      <w:r>
        <w:rPr>
          <w:rFonts w:hint="default" w:ascii="Times New Roman" w:hAnsi="Times New Roman" w:eastAsia="仿宋" w:cs="Times New Roman"/>
          <w:b w:val="0"/>
          <w:bCs/>
          <w:color w:val="000000" w:themeColor="text1"/>
          <w:sz w:val="32"/>
          <w:szCs w:val="32"/>
          <w14:textFill>
            <w14:solidFill>
              <w14:schemeClr w14:val="tx1"/>
            </w14:solidFill>
          </w14:textFill>
        </w:rPr>
        <w:t>年12月31日止。本报告电子版可在</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微山县留庄镇</w:t>
      </w:r>
      <w:r>
        <w:rPr>
          <w:rFonts w:hint="default" w:ascii="Times New Roman" w:hAnsi="Times New Roman" w:eastAsia="仿宋" w:cs="Times New Roman"/>
          <w:b w:val="0"/>
          <w:bCs/>
          <w:color w:val="000000" w:themeColor="text1"/>
          <w:sz w:val="32"/>
          <w:szCs w:val="32"/>
          <w14:textFill>
            <w14:solidFill>
              <w14:schemeClr w14:val="tx1"/>
            </w14:solidFill>
          </w14:textFill>
        </w:rPr>
        <w:t>政府门户网站（</w:t>
      </w:r>
      <w:r>
        <w:rPr>
          <w:rFonts w:hint="default" w:ascii="Times New Roman" w:hAnsi="Times New Roman" w:eastAsia="仿宋"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仿宋" w:cs="Times New Roman"/>
          <w:b w:val="0"/>
          <w:bCs/>
          <w:color w:val="000000" w:themeColor="text1"/>
          <w:sz w:val="32"/>
          <w:szCs w:val="32"/>
          <w14:textFill>
            <w14:solidFill>
              <w14:schemeClr w14:val="tx1"/>
            </w14:solidFill>
          </w14:textFill>
        </w:rPr>
        <w:instrText xml:space="preserve"> HYPERLINK "http://www.weishan.gov.cn/col/col22897/index.html" </w:instrText>
      </w:r>
      <w:r>
        <w:rPr>
          <w:rFonts w:hint="default" w:ascii="Times New Roman" w:hAnsi="Times New Roman" w:eastAsia="仿宋" w:cs="Times New Roman"/>
          <w:b w:val="0"/>
          <w:bCs/>
          <w:color w:val="000000" w:themeColor="text1"/>
          <w:sz w:val="32"/>
          <w:szCs w:val="32"/>
          <w14:textFill>
            <w14:solidFill>
              <w14:schemeClr w14:val="tx1"/>
            </w14:solidFill>
          </w14:textFill>
        </w:rPr>
        <w:fldChar w:fldCharType="separate"/>
      </w:r>
      <w:r>
        <w:rPr>
          <w:rStyle w:val="7"/>
          <w:rFonts w:hint="default" w:ascii="Times New Roman" w:hAnsi="Times New Roman" w:eastAsia="仿宋" w:cs="Times New Roman"/>
          <w:b w:val="0"/>
          <w:bCs/>
          <w:color w:val="000000" w:themeColor="text1"/>
          <w:sz w:val="32"/>
          <w:szCs w:val="32"/>
          <w14:textFill>
            <w14:solidFill>
              <w14:schemeClr w14:val="tx1"/>
            </w14:solidFill>
          </w14:textFill>
        </w:rPr>
        <w:t>http://www.weishan.gov.cn/col/col22897/index.html</w:t>
      </w:r>
      <w:r>
        <w:rPr>
          <w:rFonts w:hint="default" w:ascii="Times New Roman" w:hAnsi="Times New Roman" w:eastAsia="仿宋" w:cs="Times New Roman"/>
          <w:b w:val="0"/>
          <w:bCs/>
          <w:color w:val="000000" w:themeColor="text1"/>
          <w:sz w:val="32"/>
          <w:szCs w:val="32"/>
          <w14:textFill>
            <w14:solidFill>
              <w14:schemeClr w14:val="tx1"/>
            </w14:solidFill>
          </w14:textFill>
        </w:rPr>
        <w:fldChar w:fldCharType="end"/>
      </w:r>
      <w:r>
        <w:rPr>
          <w:rFonts w:hint="default" w:ascii="Times New Roman" w:hAnsi="Times New Roman" w:eastAsia="仿宋" w:cs="Times New Roman"/>
          <w:b w:val="0"/>
          <w:bCs/>
          <w:color w:val="000000" w:themeColor="text1"/>
          <w:sz w:val="32"/>
          <w:szCs w:val="32"/>
          <w14:textFill>
            <w14:solidFill>
              <w14:schemeClr w14:val="tx1"/>
            </w14:solidFill>
          </w14:textFill>
        </w:rPr>
        <w:t>）查阅或下载。如对本报告有疑问，请与</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微山县留庄镇人民政府</w:t>
      </w:r>
      <w:r>
        <w:rPr>
          <w:rFonts w:hint="default" w:ascii="Times New Roman" w:hAnsi="Times New Roman" w:eastAsia="仿宋" w:cs="Times New Roman"/>
          <w:b w:val="0"/>
          <w:bCs/>
          <w:color w:val="000000" w:themeColor="text1"/>
          <w:sz w:val="32"/>
          <w:szCs w:val="32"/>
          <w14:textFill>
            <w14:solidFill>
              <w14:schemeClr w14:val="tx1"/>
            </w14:solidFill>
          </w14:textFill>
        </w:rPr>
        <w:t>联系（地址：</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微山县留庄镇中心街1号</w:t>
      </w:r>
      <w:r>
        <w:rPr>
          <w:rFonts w:hint="default" w:ascii="Times New Roman" w:hAnsi="Times New Roman" w:eastAsia="仿宋" w:cs="Times New Roman"/>
          <w:b w:val="0"/>
          <w:bCs/>
          <w:color w:val="000000" w:themeColor="text1"/>
          <w:sz w:val="32"/>
          <w:szCs w:val="32"/>
          <w14:textFill>
            <w14:solidFill>
              <w14:schemeClr w14:val="tx1"/>
            </w14:solidFill>
          </w14:textFill>
        </w:rPr>
        <w:t>，联系电话：0537-</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8631846</w:t>
      </w:r>
      <w:r>
        <w:rPr>
          <w:rFonts w:hint="default" w:ascii="Times New Roman" w:hAnsi="Times New Roman" w:eastAsia="仿宋" w:cs="Times New Roman"/>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4" w:firstLineChars="200"/>
        <w:jc w:val="left"/>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bookmarkStart w:id="0" w:name="_GoBack"/>
      <w:bookmarkEnd w:id="0"/>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2022年，</w:t>
      </w: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留庄镇认真贯彻落实《中华人民共和国政府信息公开条例》，高度重视政府信息公开工作，坚持把政府信息公开工作作为一项重要工作来抓，结合留庄镇实际积极开拓公开渠道，创新公开方式，通过多渠道在允许公开的范围内，及时更新、发布相关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2022年度，留庄镇积极主动公开政府信息，主要涉及机构职能、规范性文件、工作动态和重点领域信息等多个方面，留庄镇政府网站发布工作动态25条、图片新闻18条、政务新媒体</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中</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公众号共计发布190条。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Times New Roman" w:hAnsi="Times New Roman" w:eastAsia="仿宋"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drawing>
          <wp:inline distT="0" distB="0" distL="114300" distR="114300">
            <wp:extent cx="5124450" cy="4181475"/>
            <wp:effectExtent l="0" t="0" r="0" b="9525"/>
            <wp:docPr id="1" name="图片 1" descr="微信图片_2023020915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09152722"/>
                    <pic:cNvPicPr>
                      <a:picLocks noChangeAspect="1"/>
                    </pic:cNvPicPr>
                  </pic:nvPicPr>
                  <pic:blipFill>
                    <a:blip r:embed="rId7"/>
                    <a:stretch>
                      <a:fillRect/>
                    </a:stretch>
                  </pic:blipFill>
                  <pic:spPr>
                    <a:xfrm>
                      <a:off x="0" y="0"/>
                      <a:ext cx="5124450" cy="41814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2022年度，留庄镇人民政府收到信息公开申请2件，已答复。未收取政府信息公开信息处理费。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严格按照《条例》的有关要求，成立领导小组，明确了信息公开制度，压实了政务信息公开工作人员工作职责，明确了政府信息公开的工作内容、形式和公开、受理、回复的反馈机制。严格遵循政府信息公开基本原则开展信息公开工作，做到“依法公开，真实公正，注重实效，有利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加强平台建设，深化公开内容。坚持以政府网站为主平台，以现场查阅点、镇政府微信公众号等为辅助手段，搭建高效便捷、渠道多元的公开载体，为公众获取政府信息提供更加便利的条件。同时，进一步推进政府日常工作的公开，让政府工作更加透明化，让群众掌握政府工作实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根据县政府目标管理考核工作规定，严格</w:t>
      </w:r>
      <w:r>
        <w:rPr>
          <w:rFonts w:hint="default"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2022</w:t>
      </w: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年政府信息公开考核工作，通过上级部门反馈、自查自纠等方式，对发现问题及时整改；加强政府信息公开培训工作，按照上级要求，设立政务公开领导小组，确保组织有力，专人负责，组织学习《条例》要求，不断提高工作人员能力，推进我镇政务公开工作。</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二、主动公开政府信息情况</w:t>
      </w:r>
    </w:p>
    <w:tbl>
      <w:tblPr>
        <w:tblStyle w:val="5"/>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7" w:hRule="atLeast"/>
          <w:jc w:val="center"/>
        </w:trPr>
        <w:tc>
          <w:tcPr>
            <w:tcW w:w="8824"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themeColor="text1"/>
                <w:sz w:val="32"/>
                <w:szCs w:val="28"/>
                <w14:textFill>
                  <w14:solidFill>
                    <w14:schemeClr w14:val="tx1"/>
                  </w14:solidFill>
                </w14:textFill>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7" w:hRule="atLeast"/>
          <w:jc w:val="center"/>
        </w:trPr>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信息内容</w:t>
            </w:r>
          </w:p>
        </w:tc>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本年制发件数</w:t>
            </w:r>
          </w:p>
        </w:tc>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本年废止件数</w:t>
            </w:r>
          </w:p>
        </w:tc>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7" w:hRule="atLeast"/>
          <w:jc w:val="center"/>
        </w:trPr>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规章</w:t>
            </w:r>
          </w:p>
        </w:tc>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7" w:hRule="atLeast"/>
          <w:jc w:val="center"/>
        </w:trPr>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28"/>
                <w:szCs w:val="24"/>
              </w:rPr>
              <w:t>行政规范性文件</w:t>
            </w:r>
          </w:p>
        </w:tc>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7" w:hRule="atLeast"/>
          <w:jc w:val="center"/>
        </w:trPr>
        <w:tc>
          <w:tcPr>
            <w:tcW w:w="8824"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themeColor="text1"/>
                <w:sz w:val="32"/>
                <w:szCs w:val="28"/>
                <w14:textFill>
                  <w14:solidFill>
                    <w14:schemeClr w14:val="tx1"/>
                  </w14:solidFill>
                </w14:textFill>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7" w:hRule="atLeast"/>
          <w:jc w:val="center"/>
        </w:trPr>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信息内容</w:t>
            </w:r>
          </w:p>
        </w:tc>
        <w:tc>
          <w:tcPr>
            <w:tcW w:w="661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7" w:hRule="atLeast"/>
          <w:jc w:val="center"/>
        </w:trPr>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行政许可</w:t>
            </w:r>
          </w:p>
        </w:tc>
        <w:tc>
          <w:tcPr>
            <w:tcW w:w="661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7" w:hRule="atLeast"/>
          <w:jc w:val="center"/>
        </w:trPr>
        <w:tc>
          <w:tcPr>
            <w:tcW w:w="8824"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themeColor="text1"/>
                <w:sz w:val="32"/>
                <w:szCs w:val="28"/>
                <w14:textFill>
                  <w14:solidFill>
                    <w14:schemeClr w14:val="tx1"/>
                  </w14:solidFill>
                </w14:textFill>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7" w:hRule="atLeast"/>
          <w:jc w:val="center"/>
        </w:trPr>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信息内容</w:t>
            </w:r>
          </w:p>
        </w:tc>
        <w:tc>
          <w:tcPr>
            <w:tcW w:w="661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行政处罚</w:t>
            </w:r>
          </w:p>
        </w:tc>
        <w:tc>
          <w:tcPr>
            <w:tcW w:w="661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行政强制</w:t>
            </w:r>
          </w:p>
        </w:tc>
        <w:tc>
          <w:tcPr>
            <w:tcW w:w="661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themeColor="text1"/>
                <w:sz w:val="32"/>
                <w:szCs w:val="28"/>
                <w14:textFill>
                  <w14:solidFill>
                    <w14:schemeClr w14:val="tx1"/>
                  </w14:solidFill>
                </w14:textFill>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信息内容</w:t>
            </w:r>
          </w:p>
        </w:tc>
        <w:tc>
          <w:tcPr>
            <w:tcW w:w="661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28"/>
                <w:szCs w:val="24"/>
              </w:rPr>
              <w:t>行政事业性收费</w:t>
            </w:r>
          </w:p>
        </w:tc>
        <w:tc>
          <w:tcPr>
            <w:tcW w:w="661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r>
    </w:tbl>
    <w:p>
      <w:pPr>
        <w:keepNext w:val="0"/>
        <w:keepLines w:val="0"/>
        <w:pageBreakBefore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sz w:val="32"/>
          <w:szCs w:val="32"/>
        </w:rPr>
      </w:pPr>
      <w:r>
        <w:rPr>
          <w:rFonts w:hint="eastAsia" w:ascii="黑体" w:hAnsi="黑体" w:eastAsia="黑体" w:cs="黑体"/>
          <w:b w:val="0"/>
          <w:bCs/>
          <w:color w:val="000000" w:themeColor="text1"/>
          <w:sz w:val="32"/>
          <w:szCs w:val="32"/>
          <w:lang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收到和处理政府信息公开申请情况</w:t>
      </w:r>
    </w:p>
    <w:tbl>
      <w:tblPr>
        <w:tblStyle w:val="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等于第三项加第四项之和）</w:t>
            </w:r>
          </w:p>
        </w:tc>
        <w:tc>
          <w:tcPr>
            <w:tcW w:w="4129"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自然人</w:t>
            </w:r>
          </w:p>
        </w:tc>
        <w:tc>
          <w:tcPr>
            <w:tcW w:w="2839"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法人或其他组织</w:t>
            </w:r>
          </w:p>
        </w:tc>
        <w:tc>
          <w:tcPr>
            <w:tcW w:w="46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hanging="1"/>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科研机构</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社会公益组织</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hanging="1"/>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其他</w:t>
            </w:r>
          </w:p>
        </w:tc>
        <w:tc>
          <w:tcPr>
            <w:tcW w:w="46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一、本年新收政府信息公开申请数量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三、本年度办理结果</w:t>
            </w: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kern w:val="2"/>
                <w:sz w:val="32"/>
                <w:szCs w:val="28"/>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kern w:val="2"/>
                <w:sz w:val="32"/>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4"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（二）部分公开（区分处理的，只计这一情形，不计其他情形）</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（三）不予公开</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4"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2.其他法律行政法规禁止公开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7"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4.保护第三方合法权益</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kern w:val="2"/>
                <w:sz w:val="32"/>
                <w:szCs w:val="28"/>
                <w:lang w:val="en-US" w:eastAsia="zh-CN" w:bidi="ar-SA"/>
              </w:rPr>
              <w:t>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kern w:val="2"/>
                <w:sz w:val="32"/>
                <w:szCs w:val="2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6.属于四类过程性信息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8.属于行政查询事项</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（四）无法提供</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kern w:val="2"/>
                <w:sz w:val="32"/>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2.没有现成信息需要另行制作</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3.</w:t>
            </w:r>
            <w:r>
              <w:rPr>
                <w:rFonts w:hint="default" w:ascii="Times New Roman" w:hAnsi="Times New Roman" w:eastAsia="仿宋" w:cs="Times New Roman"/>
                <w:b w:val="0"/>
                <w:bCs/>
                <w:spacing w:val="-8"/>
                <w:sz w:val="32"/>
                <w:szCs w:val="28"/>
              </w:rPr>
              <w:t>补正后申请内容仍不明确</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（五）不予处理</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1.信访举报投诉类申请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4.</w:t>
            </w:r>
            <w:r>
              <w:rPr>
                <w:rFonts w:hint="default" w:ascii="Times New Roman" w:hAnsi="Times New Roman" w:eastAsia="仿宋" w:cs="Times New Roman"/>
                <w:b w:val="0"/>
                <w:bCs/>
                <w:spacing w:val="-8"/>
                <w:sz w:val="32"/>
                <w:szCs w:val="28"/>
              </w:rPr>
              <w:t>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5.要求行政机关确认或重新出具已获取信息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（六）其他处理</w:t>
            </w: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1</w:t>
            </w:r>
            <w:r>
              <w:rPr>
                <w:rFonts w:hint="default" w:ascii="Times New Roman" w:hAnsi="Times New Roman" w:eastAsia="仿宋" w:cs="Times New Roman"/>
                <w:b w:val="0"/>
                <w:bCs/>
                <w:color w:val="000000"/>
                <w:sz w:val="32"/>
                <w:szCs w:val="28"/>
              </w:rPr>
              <w:t>.申请人无正当理由逾期不补正、行政机关不再处理其政府信息公开申请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2</w:t>
            </w:r>
            <w:r>
              <w:rPr>
                <w:rFonts w:hint="default" w:ascii="Times New Roman" w:hAnsi="Times New Roman" w:eastAsia="仿宋" w:cs="Times New Roman"/>
                <w:b w:val="0"/>
                <w:bCs/>
                <w:color w:val="000000"/>
                <w:sz w:val="32"/>
                <w:szCs w:val="28"/>
              </w:rPr>
              <w:t>.申请人逾期未按收费通知要求缴纳费用、行政机关不再处理其政府信息公开申请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bl>
    <w:p>
      <w:pPr>
        <w:keepNext w:val="0"/>
        <w:keepLines w:val="0"/>
        <w:pageBreakBefore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政府信息公开行政复议、行政诉讼情况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行政复议</w:t>
            </w:r>
          </w:p>
        </w:tc>
        <w:tc>
          <w:tcPr>
            <w:tcW w:w="5922" w:type="dxa"/>
            <w:gridSpan w:val="10"/>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维持</w:t>
            </w:r>
          </w:p>
        </w:tc>
        <w:tc>
          <w:tcPr>
            <w:tcW w:w="60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hanging="1"/>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结果纠正</w:t>
            </w:r>
          </w:p>
        </w:tc>
        <w:tc>
          <w:tcPr>
            <w:tcW w:w="60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其他结果</w:t>
            </w:r>
          </w:p>
        </w:tc>
        <w:tc>
          <w:tcPr>
            <w:tcW w:w="60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尚未</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审结</w:t>
            </w:r>
          </w:p>
        </w:tc>
        <w:tc>
          <w:tcPr>
            <w:tcW w:w="47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总</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计</w:t>
            </w:r>
          </w:p>
        </w:tc>
        <w:tc>
          <w:tcPr>
            <w:tcW w:w="2943"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未经复议直接起诉</w:t>
            </w:r>
          </w:p>
        </w:tc>
        <w:tc>
          <w:tcPr>
            <w:tcW w:w="2979"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60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60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60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47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5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结果维持</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结果纠正</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其他</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尚未</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审结</w:t>
            </w:r>
          </w:p>
        </w:tc>
        <w:tc>
          <w:tcPr>
            <w:tcW w:w="57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总计</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结果维持</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纠正</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hanging="1"/>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其他</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hanging="1"/>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w:t>
            </w:r>
          </w:p>
        </w:tc>
        <w:tc>
          <w:tcPr>
            <w:tcW w:w="60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3" w:leftChars="0" w:right="0" w:rightChars="0" w:hanging="3" w:hangingChars="1"/>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尚未审结</w:t>
            </w:r>
          </w:p>
        </w:tc>
        <w:tc>
          <w:tcPr>
            <w:tcW w:w="5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47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5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57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5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4" w:firstLineChars="200"/>
        <w:jc w:val="left"/>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（一）存在问题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4" w:firstLineChars="200"/>
        <w:jc w:val="left"/>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2022年，全镇政府信息公开工作在深化政府信息公开内容、完善政府信息公开配套工作，加强政府信息公开基础性工作等方面取得了新的进展，但政府机关主动公开政府信息内容与公众的需求还存在一些差距，公开形式便民性需要进一步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4" w:firstLineChars="200"/>
        <w:jc w:val="left"/>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（二）下步措施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4" w:firstLineChars="200"/>
        <w:jc w:val="left"/>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一是深化政府信息公开内容。继续重点推进与社会发展和群众生活密切相关的政府信息公开；进一步及时、规范做好公文类政府信息公开工作；以政府信息公开带动办事公开，以办事公开带动便民服务，进一步推动政府信息公开与网上办事相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4" w:firstLineChars="200"/>
        <w:jc w:val="left"/>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kern w:val="2"/>
          <w:sz w:val="32"/>
          <w:szCs w:val="32"/>
          <w:lang w:val="en-US" w:eastAsia="zh-CN" w:bidi="ar-SA"/>
          <w14:textFill>
            <w14:solidFill>
              <w14:schemeClr w14:val="tx1"/>
            </w14:solidFill>
          </w14:textFill>
        </w:rPr>
        <w:t>二是加强政府信息公开基础性工作。加强宣传，提高公众对政府信息公开的知晓率和参与度；加强政府信息公开业务学习和培训，不断提升政府信息公开整体工作水平；加强政府信息公开各项保障措施，丰富政府信息公开监督、检查、考核手段。</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jc w:val="both"/>
        <w:textAlignment w:val="auto"/>
        <w:rPr>
          <w:rFonts w:hint="eastAsia" w:ascii="Times New Roman" w:hAnsi="Times New Roman" w:eastAsia="仿宋" w:cs="Times New Roman"/>
          <w:b w:val="0"/>
          <w:bCs/>
          <w:color w:val="000000"/>
          <w:sz w:val="32"/>
          <w:szCs w:val="32"/>
          <w:lang w:val="en-US" w:eastAsia="zh-CN"/>
        </w:rPr>
      </w:pPr>
      <w:r>
        <w:rPr>
          <w:rFonts w:hint="default" w:ascii="Times New Roman" w:hAnsi="Times New Roman" w:eastAsia="仿宋" w:cs="Times New Roman"/>
          <w:b w:val="0"/>
          <w:bCs/>
          <w:color w:val="000000"/>
          <w:sz w:val="32"/>
          <w:szCs w:val="32"/>
        </w:rPr>
        <w:t>（一）依据《政府信息公开信息处理费管理办法》收取信息处理费的情况</w:t>
      </w:r>
      <w:r>
        <w:rPr>
          <w:rFonts w:hint="eastAsia" w:ascii="Times New Roman" w:hAnsi="Times New Roman" w:eastAsia="仿宋" w:cs="Times New Roman"/>
          <w:b w:val="0"/>
          <w:bCs/>
          <w:color w:val="000000"/>
          <w:sz w:val="32"/>
          <w:szCs w:val="32"/>
          <w:lang w:eastAsia="zh-CN"/>
        </w:rPr>
        <w:t>。</w:t>
      </w:r>
      <w:r>
        <w:rPr>
          <w:rFonts w:hint="eastAsia" w:ascii="Times New Roman" w:hAnsi="Times New Roman" w:eastAsia="仿宋" w:cs="Times New Roman"/>
          <w:b w:val="0"/>
          <w:bCs/>
          <w:color w:val="000000"/>
          <w:sz w:val="32"/>
          <w:szCs w:val="32"/>
          <w:lang w:val="en-US" w:eastAsia="zh-CN"/>
        </w:rPr>
        <w:t>2022年度未收取</w:t>
      </w:r>
      <w:r>
        <w:rPr>
          <w:rFonts w:hint="default" w:ascii="Times New Roman" w:hAnsi="Times New Roman" w:eastAsia="仿宋" w:cs="Times New Roman"/>
          <w:b w:val="0"/>
          <w:bCs/>
          <w:color w:val="000000"/>
          <w:sz w:val="32"/>
          <w:szCs w:val="32"/>
        </w:rPr>
        <w:t>政府信息公开信息处理费</w:t>
      </w:r>
      <w:r>
        <w:rPr>
          <w:rFonts w:hint="eastAsia" w:ascii="Times New Roman" w:hAnsi="Times New Roman" w:eastAsia="仿宋" w:cs="Times New Roman"/>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jc w:val="both"/>
        <w:textAlignment w:val="auto"/>
        <w:rPr>
          <w:rFonts w:hint="default" w:ascii="Times New Roman" w:hAnsi="Times New Roman" w:eastAsia="仿宋" w:cs="Times New Roman"/>
          <w:b w:val="0"/>
          <w:bCs/>
          <w:color w:val="000000"/>
          <w:sz w:val="32"/>
          <w:szCs w:val="32"/>
          <w:lang w:val="en-US" w:eastAsia="zh-CN"/>
        </w:rPr>
      </w:pPr>
      <w:r>
        <w:rPr>
          <w:rFonts w:hint="default" w:ascii="Times New Roman" w:hAnsi="Times New Roman" w:eastAsia="仿宋" w:cs="Times New Roman"/>
          <w:b w:val="0"/>
          <w:bCs/>
          <w:color w:val="000000"/>
          <w:sz w:val="32"/>
          <w:szCs w:val="32"/>
        </w:rPr>
        <w:t>（二）落实上级年度政务公开工作要点情况</w:t>
      </w:r>
      <w:r>
        <w:rPr>
          <w:rFonts w:hint="eastAsia" w:ascii="Times New Roman" w:hAnsi="Times New Roman" w:eastAsia="仿宋" w:cs="Times New Roman"/>
          <w:b w:val="0"/>
          <w:bCs/>
          <w:color w:val="000000"/>
          <w:sz w:val="32"/>
          <w:szCs w:val="32"/>
          <w:lang w:eastAsia="zh-CN"/>
        </w:rPr>
        <w:t>。</w:t>
      </w:r>
      <w:r>
        <w:rPr>
          <w:rFonts w:hint="eastAsia" w:ascii="Times New Roman" w:hAnsi="Times New Roman" w:eastAsia="仿宋" w:cs="Times New Roman"/>
          <w:b w:val="0"/>
          <w:bCs/>
          <w:color w:val="000000"/>
          <w:sz w:val="32"/>
          <w:szCs w:val="32"/>
          <w:lang w:val="en-US" w:eastAsia="zh-CN"/>
        </w:rPr>
        <w:t>深入贯彻落实我镇2022年度政务公开工作要点，结合本镇实际，及时制定发布《2022年留庄镇政务公开工作要点及分解细化实施方案》，定期统筹调度，2022年度政务公开工作要点工作任务顺利推进。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jc w:val="both"/>
        <w:textAlignment w:val="auto"/>
        <w:rPr>
          <w:rFonts w:hint="default" w:ascii="Times New Roman" w:hAnsi="Times New Roman" w:eastAsia="仿宋" w:cs="Times New Roman"/>
          <w:b w:val="0"/>
          <w:bCs/>
          <w:color w:val="000000"/>
          <w:sz w:val="32"/>
          <w:szCs w:val="32"/>
        </w:rPr>
      </w:pPr>
      <w:r>
        <w:rPr>
          <w:rFonts w:hint="default" w:ascii="Times New Roman" w:hAnsi="Times New Roman" w:eastAsia="仿宋" w:cs="Times New Roman"/>
          <w:b w:val="0"/>
          <w:bCs/>
          <w:color w:val="000000"/>
          <w:sz w:val="32"/>
          <w:szCs w:val="32"/>
        </w:rPr>
        <w:t>（三）人大代表建议和政协提案办理结果公开情况</w:t>
      </w:r>
      <w:r>
        <w:rPr>
          <w:rFonts w:hint="eastAsia" w:ascii="Times New Roman" w:hAnsi="Times New Roman" w:eastAsia="仿宋" w:cs="Times New Roman"/>
          <w:b w:val="0"/>
          <w:bCs/>
          <w:color w:val="000000"/>
          <w:sz w:val="32"/>
          <w:szCs w:val="32"/>
          <w:lang w:eastAsia="zh-CN"/>
        </w:rPr>
        <w:t>。2022</w:t>
      </w:r>
      <w:r>
        <w:rPr>
          <w:rFonts w:hint="default" w:ascii="Times New Roman" w:hAnsi="Times New Roman" w:eastAsia="仿宋" w:cs="Times New Roman"/>
          <w:b w:val="0"/>
          <w:bCs/>
          <w:color w:val="000000"/>
          <w:sz w:val="32"/>
          <w:szCs w:val="32"/>
        </w:rPr>
        <w:t>年</w:t>
      </w:r>
      <w:r>
        <w:rPr>
          <w:rFonts w:hint="eastAsia" w:ascii="Times New Roman" w:hAnsi="Times New Roman" w:eastAsia="仿宋" w:cs="Times New Roman"/>
          <w:b w:val="0"/>
          <w:bCs/>
          <w:color w:val="000000"/>
          <w:sz w:val="32"/>
          <w:szCs w:val="32"/>
          <w:lang w:eastAsia="zh-CN"/>
        </w:rPr>
        <w:t>，</w:t>
      </w:r>
      <w:r>
        <w:rPr>
          <w:rFonts w:hint="default" w:ascii="Times New Roman" w:hAnsi="Times New Roman" w:eastAsia="仿宋" w:cs="Times New Roman"/>
          <w:b w:val="0"/>
          <w:bCs/>
          <w:color w:val="000000"/>
          <w:sz w:val="32"/>
          <w:szCs w:val="32"/>
        </w:rPr>
        <w:t>留庄镇未收到人大建议和政协提案信息。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jc w:val="both"/>
        <w:textAlignment w:val="auto"/>
        <w:rPr>
          <w:rFonts w:hint="default" w:ascii="Times New Roman" w:hAnsi="Times New Roman" w:eastAsia="仿宋" w:cs="Times New Roman"/>
          <w:b w:val="0"/>
          <w:bCs/>
          <w:color w:val="000000"/>
          <w:sz w:val="32"/>
          <w:szCs w:val="32"/>
        </w:rPr>
      </w:pPr>
      <w:r>
        <w:rPr>
          <w:rFonts w:hint="default" w:ascii="Times New Roman" w:hAnsi="Times New Roman" w:eastAsia="仿宋" w:cs="Times New Roman"/>
          <w:b w:val="0"/>
          <w:bCs/>
          <w:color w:val="000000"/>
          <w:sz w:val="32"/>
          <w:szCs w:val="32"/>
        </w:rPr>
        <w:t>（四）年度政务公开工作创新情况：无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jc w:val="both"/>
        <w:textAlignment w:val="auto"/>
        <w:rPr>
          <w:rFonts w:hint="default" w:ascii="Times New Roman" w:hAnsi="Times New Roman" w:eastAsia="仿宋" w:cs="Times New Roman"/>
          <w:b w:val="0"/>
          <w:bCs/>
          <w:color w:val="000000"/>
          <w:sz w:val="32"/>
          <w:szCs w:val="32"/>
        </w:rPr>
      </w:pPr>
      <w:r>
        <w:rPr>
          <w:rFonts w:hint="default" w:ascii="Times New Roman" w:hAnsi="Times New Roman" w:eastAsia="仿宋" w:cs="Times New Roman"/>
          <w:b w:val="0"/>
          <w:bCs/>
          <w:color w:val="000000"/>
          <w:sz w:val="32"/>
          <w:szCs w:val="32"/>
        </w:rPr>
        <w:t>（五）政府信息公开工作年度报告数据统计需要说明的事项：无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jc w:val="both"/>
        <w:textAlignment w:val="auto"/>
        <w:rPr>
          <w:rFonts w:hint="default" w:ascii="Times New Roman" w:hAnsi="Times New Roman" w:eastAsia="仿宋" w:cs="Times New Roman"/>
          <w:b w:val="0"/>
          <w:bCs/>
          <w:color w:val="000000"/>
          <w:sz w:val="32"/>
          <w:szCs w:val="32"/>
        </w:rPr>
      </w:pPr>
      <w:r>
        <w:rPr>
          <w:rFonts w:hint="default" w:ascii="Times New Roman" w:hAnsi="Times New Roman" w:eastAsia="仿宋" w:cs="Times New Roman"/>
          <w:b w:val="0"/>
          <w:bCs/>
          <w:color w:val="000000"/>
          <w:sz w:val="32"/>
          <w:szCs w:val="32"/>
        </w:rPr>
        <w:t>（六）需要报告的其他事项：无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jc w:val="both"/>
        <w:textAlignment w:val="auto"/>
        <w:rPr>
          <w:rFonts w:hint="default" w:ascii="Times New Roman" w:hAnsi="Times New Roman" w:eastAsia="仿宋" w:cs="Times New Roman"/>
          <w:b w:val="0"/>
          <w:bCs/>
          <w:color w:val="000000"/>
          <w:sz w:val="32"/>
          <w:szCs w:val="32"/>
        </w:rPr>
      </w:pPr>
      <w:r>
        <w:rPr>
          <w:rFonts w:hint="default" w:ascii="Times New Roman" w:hAnsi="Times New Roman" w:eastAsia="仿宋" w:cs="Times New Roman"/>
          <w:b w:val="0"/>
          <w:bCs/>
          <w:color w:val="000000"/>
          <w:sz w:val="32"/>
          <w:szCs w:val="32"/>
        </w:rPr>
        <w:t>（七）其他有关文件专门要求通过政府信息公开工作年度报告予以报告的事项：无</w:t>
      </w:r>
    </w:p>
    <w:sectPr>
      <w:footerReference r:id="rId5" w:type="first"/>
      <w:footerReference r:id="rId3" w:type="default"/>
      <w:footerReference r:id="rId4" w:type="even"/>
      <w:pgSz w:w="11906" w:h="16838"/>
      <w:pgMar w:top="2098" w:right="1474" w:bottom="1984"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- 2 -</w:t>
                          </w:r>
                          <w:r>
                            <w:rPr>
                              <w:rFonts w:ascii="Times New Roman" w:hAnsi="Times New Roman"/>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- 2 -</w:t>
                    </w:r>
                    <w:r>
                      <w:rPr>
                        <w:rFonts w:ascii="Times New Roman" w:hAnsi="Times New Roman"/>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- 1 -</w:t>
                          </w:r>
                          <w:r>
                            <w:rPr>
                              <w:rFonts w:ascii="Times New Roman" w:hAnsi="Times New Roman"/>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- 1 -</w:t>
                    </w:r>
                    <w:r>
                      <w:rPr>
                        <w:rFonts w:ascii="Times New Roman" w:hAnsi="Times New Roman"/>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OGZmNzk2OTQ2MTYwYWViM2Q1MzhmNmFhMDZmZTIifQ=="/>
  </w:docVars>
  <w:rsids>
    <w:rsidRoot w:val="158A3127"/>
    <w:rsid w:val="00D074CA"/>
    <w:rsid w:val="01510D83"/>
    <w:rsid w:val="01B543FB"/>
    <w:rsid w:val="02370832"/>
    <w:rsid w:val="02C44E39"/>
    <w:rsid w:val="040556DD"/>
    <w:rsid w:val="042A0CA0"/>
    <w:rsid w:val="04772AB1"/>
    <w:rsid w:val="0491356E"/>
    <w:rsid w:val="04F217BD"/>
    <w:rsid w:val="05C62623"/>
    <w:rsid w:val="05C638F2"/>
    <w:rsid w:val="065E2704"/>
    <w:rsid w:val="066E374C"/>
    <w:rsid w:val="071A3882"/>
    <w:rsid w:val="07281831"/>
    <w:rsid w:val="07294629"/>
    <w:rsid w:val="073562D9"/>
    <w:rsid w:val="08167EB9"/>
    <w:rsid w:val="08FC458A"/>
    <w:rsid w:val="09274C27"/>
    <w:rsid w:val="0A4C7BC2"/>
    <w:rsid w:val="0A8F226A"/>
    <w:rsid w:val="0BB97912"/>
    <w:rsid w:val="0CC47EE3"/>
    <w:rsid w:val="0E3F1C0C"/>
    <w:rsid w:val="0EBC34B0"/>
    <w:rsid w:val="0FE74F56"/>
    <w:rsid w:val="1097185D"/>
    <w:rsid w:val="130D46E8"/>
    <w:rsid w:val="149908B2"/>
    <w:rsid w:val="158A3127"/>
    <w:rsid w:val="15FB49F9"/>
    <w:rsid w:val="1633660B"/>
    <w:rsid w:val="17DC5599"/>
    <w:rsid w:val="19966206"/>
    <w:rsid w:val="19BE3676"/>
    <w:rsid w:val="1B2A7AAB"/>
    <w:rsid w:val="1B5519F1"/>
    <w:rsid w:val="1BA11DBE"/>
    <w:rsid w:val="1BDA0FD3"/>
    <w:rsid w:val="1CA264A5"/>
    <w:rsid w:val="1CE640D2"/>
    <w:rsid w:val="1FBA7096"/>
    <w:rsid w:val="204F3B10"/>
    <w:rsid w:val="21277454"/>
    <w:rsid w:val="21586079"/>
    <w:rsid w:val="23EB6880"/>
    <w:rsid w:val="25990AC0"/>
    <w:rsid w:val="26E2390D"/>
    <w:rsid w:val="27CB43C4"/>
    <w:rsid w:val="281975F9"/>
    <w:rsid w:val="2A4B56D5"/>
    <w:rsid w:val="2B787B0D"/>
    <w:rsid w:val="2D320688"/>
    <w:rsid w:val="2E70338E"/>
    <w:rsid w:val="3206424D"/>
    <w:rsid w:val="34302CF1"/>
    <w:rsid w:val="35015C27"/>
    <w:rsid w:val="35AB313F"/>
    <w:rsid w:val="360311CD"/>
    <w:rsid w:val="364B035D"/>
    <w:rsid w:val="369B6352"/>
    <w:rsid w:val="3CB94393"/>
    <w:rsid w:val="3CCD1F95"/>
    <w:rsid w:val="3D237F3A"/>
    <w:rsid w:val="3ED32095"/>
    <w:rsid w:val="3FAC34FD"/>
    <w:rsid w:val="409B4365"/>
    <w:rsid w:val="42824AAF"/>
    <w:rsid w:val="45344EFF"/>
    <w:rsid w:val="45877151"/>
    <w:rsid w:val="45ED0973"/>
    <w:rsid w:val="48065B19"/>
    <w:rsid w:val="48735D3E"/>
    <w:rsid w:val="489F232B"/>
    <w:rsid w:val="4AF30F55"/>
    <w:rsid w:val="4B0B066E"/>
    <w:rsid w:val="4B834272"/>
    <w:rsid w:val="4BC90885"/>
    <w:rsid w:val="4C545E87"/>
    <w:rsid w:val="4CB43CF0"/>
    <w:rsid w:val="4E0B29F3"/>
    <w:rsid w:val="4E5E2364"/>
    <w:rsid w:val="4F9C5638"/>
    <w:rsid w:val="507B2C1F"/>
    <w:rsid w:val="50D7130C"/>
    <w:rsid w:val="51223B3E"/>
    <w:rsid w:val="52110420"/>
    <w:rsid w:val="533573FC"/>
    <w:rsid w:val="533F47B1"/>
    <w:rsid w:val="545E3D46"/>
    <w:rsid w:val="547F1F0A"/>
    <w:rsid w:val="54C73613"/>
    <w:rsid w:val="55A9187F"/>
    <w:rsid w:val="55EF495F"/>
    <w:rsid w:val="58485F89"/>
    <w:rsid w:val="590A1717"/>
    <w:rsid w:val="598D671F"/>
    <w:rsid w:val="5C141D3C"/>
    <w:rsid w:val="5C5353A3"/>
    <w:rsid w:val="5D14028C"/>
    <w:rsid w:val="5DE97D66"/>
    <w:rsid w:val="5E474CCF"/>
    <w:rsid w:val="5F6F48A9"/>
    <w:rsid w:val="607D270E"/>
    <w:rsid w:val="60D222B8"/>
    <w:rsid w:val="60F42842"/>
    <w:rsid w:val="610164CF"/>
    <w:rsid w:val="61F061FA"/>
    <w:rsid w:val="6240032C"/>
    <w:rsid w:val="624125B1"/>
    <w:rsid w:val="66035828"/>
    <w:rsid w:val="66940880"/>
    <w:rsid w:val="67074CD5"/>
    <w:rsid w:val="69F05CE0"/>
    <w:rsid w:val="6A8B6AC0"/>
    <w:rsid w:val="6BDC5C34"/>
    <w:rsid w:val="6FF62072"/>
    <w:rsid w:val="71892278"/>
    <w:rsid w:val="729C492A"/>
    <w:rsid w:val="72C40DC1"/>
    <w:rsid w:val="73973924"/>
    <w:rsid w:val="73AB1F81"/>
    <w:rsid w:val="770E4F77"/>
    <w:rsid w:val="77D961DC"/>
    <w:rsid w:val="79921895"/>
    <w:rsid w:val="79C332C8"/>
    <w:rsid w:val="7A7E4A41"/>
    <w:rsid w:val="7C991510"/>
    <w:rsid w:val="7FF85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2533</Words>
  <Characters>2660</Characters>
  <Lines>0</Lines>
  <Paragraphs>0</Paragraphs>
  <TotalTime>16</TotalTime>
  <ScaleCrop>false</ScaleCrop>
  <LinksUpToDate>false</LinksUpToDate>
  <CharactersWithSpaces>2660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2022-01-06T08:23:00Z</dcterms:created>
  <dc:creator>咖、</dc:creator>
  <cp:lastModifiedBy>Administrator</cp:lastModifiedBy>
  <dcterms:modified xsi:type="dcterms:W3CDTF">2023-02-13T03:28:36Z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72473752D7E543CFB58B03367B24B67A</vt:lpwstr>
  </property>
</Properties>
</file>