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1" w:rightChars="-50"/>
        <w:rPr>
          <w:rFonts w:hint="default" w:ascii="Times New Roman" w:hAnsi="Times New Roman" w:eastAsia="文星仿宋"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101" w:rightChars="-5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微山县行政审批服务局</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2021年政府信息公开</w:t>
      </w:r>
    </w:p>
    <w:p>
      <w:pPr>
        <w:keepNext w:val="0"/>
        <w:keepLines w:val="0"/>
        <w:pageBreakBefore w:val="0"/>
        <w:widowControl w:val="0"/>
        <w:kinsoku/>
        <w:wordWrap/>
        <w:overflowPunct/>
        <w:topLinePunct w:val="0"/>
        <w:autoSpaceDE/>
        <w:autoSpaceDN/>
        <w:bidi w:val="0"/>
        <w:adjustRightInd/>
        <w:snapToGrid/>
        <w:spacing w:line="560" w:lineRule="exact"/>
        <w:ind w:right="-101" w:rightChars="-5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工作年度报告</w:t>
      </w:r>
    </w:p>
    <w:p>
      <w:pPr>
        <w:spacing w:line="590" w:lineRule="exact"/>
        <w:ind w:right="-101" w:rightChars="-50" w:firstLine="624" w:firstLineChars="200"/>
        <w:rPr>
          <w:rFonts w:hint="default" w:ascii="Times New Roman" w:hAnsi="Times New Roman" w:eastAsia="文星仿宋"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本报告由</w:t>
      </w:r>
      <w:r>
        <w:rPr>
          <w:rFonts w:hint="eastAsia" w:ascii="仿宋" w:hAnsi="仿宋" w:eastAsia="仿宋" w:cs="仿宋"/>
          <w:b w:val="0"/>
          <w:bCs/>
          <w:color w:val="000000" w:themeColor="text1"/>
          <w:sz w:val="32"/>
          <w:szCs w:val="32"/>
          <w:lang w:eastAsia="zh-CN"/>
          <w14:textFill>
            <w14:solidFill>
              <w14:schemeClr w14:val="tx1"/>
            </w14:solidFill>
          </w14:textFill>
        </w:rPr>
        <w:t>微山县行政审批服务局</w:t>
      </w:r>
      <w:r>
        <w:rPr>
          <w:rFonts w:hint="eastAsia" w:ascii="仿宋" w:hAnsi="仿宋" w:eastAsia="仿宋" w:cs="仿宋"/>
          <w:b w:val="0"/>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本报告所列数据的统计期限自2021年1月1日起至2021年12月31日止。本报告电子版可在“中国·</w:t>
      </w:r>
      <w:r>
        <w:rPr>
          <w:rFonts w:hint="eastAsia" w:ascii="仿宋" w:hAnsi="仿宋" w:eastAsia="仿宋" w:cs="仿宋"/>
          <w:b w:val="0"/>
          <w:bCs/>
          <w:color w:val="000000" w:themeColor="text1"/>
          <w:sz w:val="32"/>
          <w:szCs w:val="32"/>
          <w:lang w:eastAsia="zh-CN"/>
          <w14:textFill>
            <w14:solidFill>
              <w14:schemeClr w14:val="tx1"/>
            </w14:solidFill>
          </w14:textFill>
        </w:rPr>
        <w:t>微山</w:t>
      </w:r>
      <w:r>
        <w:rPr>
          <w:rFonts w:hint="eastAsia" w:ascii="仿宋" w:hAnsi="仿宋" w:eastAsia="仿宋" w:cs="仿宋"/>
          <w:b w:val="0"/>
          <w:bCs/>
          <w:color w:val="000000" w:themeColor="text1"/>
          <w:sz w:val="32"/>
          <w:szCs w:val="32"/>
          <w14:textFill>
            <w14:solidFill>
              <w14:schemeClr w14:val="tx1"/>
            </w14:solidFill>
          </w14:textFill>
        </w:rPr>
        <w:t>”政府门户网站（http://www.weishan.gov.cn/）查阅或下载。如对本报告有疑问，请与</w:t>
      </w:r>
      <w:r>
        <w:rPr>
          <w:rFonts w:hint="eastAsia" w:ascii="仿宋" w:hAnsi="仿宋" w:eastAsia="仿宋" w:cs="仿宋"/>
          <w:b w:val="0"/>
          <w:bCs/>
          <w:color w:val="000000" w:themeColor="text1"/>
          <w:sz w:val="32"/>
          <w:szCs w:val="32"/>
          <w:lang w:eastAsia="zh-CN"/>
          <w14:textFill>
            <w14:solidFill>
              <w14:schemeClr w14:val="tx1"/>
            </w14:solidFill>
          </w14:textFill>
        </w:rPr>
        <w:t>微山县行政审批服务局</w:t>
      </w:r>
      <w:r>
        <w:rPr>
          <w:rFonts w:hint="eastAsia" w:ascii="仿宋" w:hAnsi="仿宋" w:eastAsia="仿宋" w:cs="仿宋"/>
          <w:b w:val="0"/>
          <w:bCs/>
          <w:color w:val="000000" w:themeColor="text1"/>
          <w:sz w:val="32"/>
          <w:szCs w:val="32"/>
          <w14:textFill>
            <w14:solidFill>
              <w14:schemeClr w14:val="tx1"/>
            </w14:solidFill>
          </w14:textFill>
        </w:rPr>
        <w:t>联系（地址：</w:t>
      </w:r>
      <w:r>
        <w:rPr>
          <w:rFonts w:hint="eastAsia" w:ascii="仿宋" w:hAnsi="仿宋" w:eastAsia="仿宋" w:cs="仿宋"/>
          <w:b w:val="0"/>
          <w:bCs/>
          <w:color w:val="000000" w:themeColor="text1"/>
          <w:sz w:val="32"/>
          <w:szCs w:val="32"/>
          <w:lang w:eastAsia="zh-CN"/>
          <w14:textFill>
            <w14:solidFill>
              <w14:schemeClr w14:val="tx1"/>
            </w14:solidFill>
          </w14:textFill>
        </w:rPr>
        <w:t>微山县金源路</w:t>
      </w:r>
      <w:r>
        <w:rPr>
          <w:rFonts w:hint="eastAsia" w:ascii="仿宋" w:hAnsi="仿宋" w:eastAsia="仿宋" w:cs="仿宋"/>
          <w:b w:val="0"/>
          <w:bCs/>
          <w:color w:val="000000" w:themeColor="text1"/>
          <w:sz w:val="32"/>
          <w:szCs w:val="32"/>
          <w:lang w:val="en-US" w:eastAsia="zh-CN"/>
          <w14:textFill>
            <w14:solidFill>
              <w14:schemeClr w14:val="tx1"/>
            </w14:solidFill>
          </w14:textFill>
        </w:rPr>
        <w:t>8号</w:t>
      </w:r>
      <w:r>
        <w:rPr>
          <w:rFonts w:hint="eastAsia" w:ascii="仿宋" w:hAnsi="仿宋" w:eastAsia="仿宋" w:cs="仿宋"/>
          <w:b w:val="0"/>
          <w:bCs/>
          <w:color w:val="000000" w:themeColor="text1"/>
          <w:sz w:val="32"/>
          <w:szCs w:val="32"/>
          <w14:textFill>
            <w14:solidFill>
              <w14:schemeClr w14:val="tx1"/>
            </w14:solidFill>
          </w14:textFill>
        </w:rPr>
        <w:t>，联系电话：0537-</w:t>
      </w:r>
      <w:r>
        <w:rPr>
          <w:rFonts w:hint="eastAsia" w:ascii="仿宋" w:hAnsi="仿宋" w:eastAsia="仿宋" w:cs="仿宋"/>
          <w:b w:val="0"/>
          <w:bCs/>
          <w:color w:val="000000" w:themeColor="text1"/>
          <w:sz w:val="32"/>
          <w:szCs w:val="32"/>
          <w:lang w:val="en-US" w:eastAsia="zh-CN"/>
          <w14:textFill>
            <w14:solidFill>
              <w14:schemeClr w14:val="tx1"/>
            </w14:solidFill>
          </w14:textFill>
        </w:rPr>
        <w:t>8229811</w:t>
      </w:r>
      <w:r>
        <w:rPr>
          <w:rFonts w:hint="eastAsia" w:ascii="仿宋" w:hAnsi="仿宋" w:eastAsia="仿宋" w:cs="仿宋"/>
          <w:b w:val="0"/>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本部分主要报告本行政机关报告年度政府信息公开工作总体情况，应对本行政机关贯彻落实《条例》情况进行综述，包括主动公开、依申请公开、政府信息管理、平台建设、监督保障等方面。县级以上人民政府、垂直管理系统的年度报告，应对本地区、本系统整体情况进行报告。重在聚焦主题、简明客观，篇幅原则上不超过1000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textAlignment w:val="auto"/>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（一）主动公开情况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主要报告政府信息公开制度建设情况、信息发布数量、解读回应情况等内容。适当运用相关制度扫描图片、公开内容截图、数据统计图等可视化形式展示。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textAlignment w:val="auto"/>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（二）依申请公开情况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主要报告本行政机关政府信息公开申请受理情况、申请涉及内容、申请处理答复情况、历年数据对比情况、收费情况等。适当运用数据统计图等方式对相关数据进行可视化分析展示。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textAlignment w:val="auto"/>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（三）政府信息管理情况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主要报告本行政机关政府信息管理制度建设情况，政府信息管理动态调整机制建设情况，规范性文件管理情况，以及政府信</w:t>
      </w:r>
      <w:r>
        <w:rPr>
          <w:rFonts w:hint="eastAsia" w:ascii="仿宋" w:hAnsi="仿宋" w:eastAsia="仿宋" w:cs="仿宋"/>
          <w:b w:val="0"/>
          <w:bCs/>
          <w:color w:val="000000" w:themeColor="text1"/>
          <w:spacing w:val="-8"/>
          <w:sz w:val="32"/>
          <w:szCs w:val="32"/>
          <w14:textFill>
            <w14:solidFill>
              <w14:schemeClr w14:val="tx1"/>
            </w14:solidFill>
          </w14:textFill>
        </w:rPr>
        <w:t>息集成发布、精准推送、智能查询、管理利用等方面的创新情况等。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textAlignment w:val="auto"/>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（四）政府信息公开平台建设情况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主要报告本行政机关政府网站、政府信息公开专栏、政务新媒体、政府公报、政府信息公开查阅场所、政务公开专区等政府信息公开平台建设情况。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textAlignment w:val="auto"/>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主要报告本行政机关政府信息公开工作监督指导情况、人员机构设置情况、业务培训情况等内容。县级以上人民政府的年度报告应在监督保障中说明本级人民政府工作考核、社会评议和责任追究结果情况。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二、主动公开政府信息情况</w:t>
      </w:r>
    </w:p>
    <w:tbl>
      <w:tblPr>
        <w:tblStyle w:val="5"/>
        <w:tblW w:w="882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06"/>
        <w:gridCol w:w="2206"/>
        <w:gridCol w:w="2206"/>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themeColor="text1"/>
                <w:sz w:val="28"/>
                <w:szCs w:val="28"/>
                <w14:textFill>
                  <w14:solidFill>
                    <w14:schemeClr w14:val="tx1"/>
                  </w14:solidFill>
                </w14:textFill>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信息内容</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本年制发件数</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本年废止件数</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规章</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行政规范性文件</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themeColor="text1"/>
                <w:sz w:val="28"/>
                <w:szCs w:val="28"/>
                <w14:textFill>
                  <w14:solidFill>
                    <w14:schemeClr w14:val="tx1"/>
                  </w14:solidFill>
                </w14:textFill>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行政许可</w:t>
            </w:r>
          </w:p>
        </w:tc>
        <w:tc>
          <w:tcPr>
            <w:tcW w:w="6618" w:type="dxa"/>
            <w:gridSpan w:val="3"/>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24311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themeColor="text1"/>
                <w:sz w:val="28"/>
                <w:szCs w:val="28"/>
                <w14:textFill>
                  <w14:solidFill>
                    <w14:schemeClr w14:val="tx1"/>
                  </w14:solidFill>
                </w14:textFill>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行政处罚</w:t>
            </w:r>
          </w:p>
        </w:tc>
        <w:tc>
          <w:tcPr>
            <w:tcW w:w="6618" w:type="dxa"/>
            <w:gridSpan w:val="3"/>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行政强制</w:t>
            </w:r>
          </w:p>
        </w:tc>
        <w:tc>
          <w:tcPr>
            <w:tcW w:w="6618" w:type="dxa"/>
            <w:gridSpan w:val="3"/>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themeColor="text1"/>
                <w:sz w:val="28"/>
                <w:szCs w:val="28"/>
                <w14:textFill>
                  <w14:solidFill>
                    <w14:schemeClr w14:val="tx1"/>
                  </w14:solidFill>
                </w14:textFill>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行政事业性收费</w:t>
            </w:r>
          </w:p>
        </w:tc>
        <w:tc>
          <w:tcPr>
            <w:tcW w:w="6618" w:type="dxa"/>
            <w:gridSpan w:val="3"/>
            <w:shd w:val="clear" w:color="auto" w:fill="FFFFFF" w:themeFill="background1"/>
            <w:vAlign w:val="center"/>
          </w:tcPr>
          <w:p>
            <w:pPr>
              <w:widowControl/>
              <w:spacing w:line="340" w:lineRule="exact"/>
              <w:jc w:val="center"/>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0</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textAlignment w:val="auto"/>
        <w:rPr>
          <w:rFonts w:hint="default" w:ascii="Times New Roman" w:hAnsi="Times New Roman" w:eastAsia="文星仿宋" w:cs="Times New Roman"/>
          <w:b w:val="0"/>
          <w:bCs/>
          <w:color w:val="000000"/>
          <w:sz w:val="32"/>
          <w:szCs w:val="32"/>
        </w:rPr>
      </w:pPr>
      <w:r>
        <w:rPr>
          <w:rFonts w:hint="eastAsia" w:ascii="黑体" w:hAnsi="黑体" w:eastAsia="黑体" w:cs="黑体"/>
          <w:b w:val="0"/>
          <w:bCs/>
          <w:color w:val="000000" w:themeColor="text1"/>
          <w:sz w:val="32"/>
          <w:szCs w:val="32"/>
          <w:lang w:eastAsia="zh-CN"/>
          <w14:textFill>
            <w14:solidFill>
              <w14:schemeClr w14:val="tx1"/>
            </w14:solidFill>
          </w14:textFill>
        </w:rPr>
        <w:t>三、</w:t>
      </w:r>
      <w:r>
        <w:rPr>
          <w:rFonts w:hint="eastAsia" w:ascii="黑体" w:hAnsi="黑体" w:eastAsia="黑体" w:cs="黑体"/>
          <w:b w:val="0"/>
          <w:bCs/>
          <w:color w:val="000000" w:themeColor="text1"/>
          <w:sz w:val="32"/>
          <w:szCs w:val="32"/>
          <w14:textFill>
            <w14:solidFill>
              <w14:schemeClr w14:val="tx1"/>
            </w14:solidFill>
          </w14:textFill>
        </w:rPr>
        <w:t>收到和处理政府信息公开申请情况</w:t>
      </w:r>
    </w:p>
    <w:tbl>
      <w:tblPr>
        <w:tblStyle w:val="5"/>
        <w:tblW w:w="8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581"/>
        <w:gridCol w:w="829"/>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4698"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等于第三项加第四项之和）</w:t>
            </w:r>
          </w:p>
        </w:tc>
        <w:tc>
          <w:tcPr>
            <w:tcW w:w="4129" w:type="dxa"/>
            <w:gridSpan w:val="7"/>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p>
        </w:tc>
        <w:tc>
          <w:tcPr>
            <w:tcW w:w="829" w:type="dxa"/>
            <w:vMerge w:val="restart"/>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自然人</w:t>
            </w:r>
          </w:p>
        </w:tc>
        <w:tc>
          <w:tcPr>
            <w:tcW w:w="2839" w:type="dxa"/>
            <w:gridSpan w:val="5"/>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法人或其他组织</w:t>
            </w:r>
          </w:p>
        </w:tc>
        <w:tc>
          <w:tcPr>
            <w:tcW w:w="461" w:type="dxa"/>
            <w:vMerge w:val="restart"/>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83"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p>
        </w:tc>
        <w:tc>
          <w:tcPr>
            <w:tcW w:w="829" w:type="dxa"/>
            <w:vMerge w:val="continue"/>
            <w:shd w:val="clear" w:color="auto" w:fill="auto"/>
            <w:tcMar>
              <w:left w:w="108" w:type="dxa"/>
              <w:right w:w="108" w:type="dxa"/>
            </w:tcMar>
            <w:vAlign w:val="center"/>
          </w:tcPr>
          <w:p>
            <w:pPr>
              <w:spacing w:line="260" w:lineRule="exact"/>
              <w:jc w:val="center"/>
              <w:rPr>
                <w:rFonts w:hint="eastAsia" w:ascii="仿宋" w:hAnsi="仿宋" w:eastAsia="仿宋" w:cs="仿宋"/>
                <w:b w:val="0"/>
                <w:bCs/>
                <w:sz w:val="28"/>
                <w:szCs w:val="28"/>
              </w:rPr>
            </w:pPr>
          </w:p>
        </w:tc>
        <w:tc>
          <w:tcPr>
            <w:tcW w:w="567" w:type="dxa"/>
            <w:shd w:val="clear" w:color="auto" w:fill="auto"/>
            <w:tcMar>
              <w:left w:w="108" w:type="dxa"/>
              <w:right w:w="108" w:type="dxa"/>
            </w:tcMar>
            <w:vAlign w:val="center"/>
          </w:tcPr>
          <w:p>
            <w:pPr>
              <w:widowControl/>
              <w:spacing w:line="260" w:lineRule="exact"/>
              <w:ind w:left="-102" w:leftChars="-51" w:right="-103" w:rightChars="-51" w:hanging="1"/>
              <w:jc w:val="center"/>
              <w:rPr>
                <w:rFonts w:hint="eastAsia" w:ascii="仿宋" w:hAnsi="仿宋" w:eastAsia="仿宋" w:cs="仿宋"/>
                <w:b w:val="0"/>
                <w:bCs/>
                <w:sz w:val="28"/>
                <w:szCs w:val="28"/>
              </w:rPr>
            </w:pPr>
            <w:r>
              <w:rPr>
                <w:rFonts w:hint="eastAsia" w:ascii="仿宋" w:hAnsi="仿宋" w:eastAsia="仿宋" w:cs="仿宋"/>
                <w:b w:val="0"/>
                <w:bCs/>
                <w:sz w:val="28"/>
                <w:szCs w:val="28"/>
              </w:rPr>
              <w:t>商业企业</w:t>
            </w:r>
          </w:p>
        </w:tc>
        <w:tc>
          <w:tcPr>
            <w:tcW w:w="567" w:type="dxa"/>
            <w:shd w:val="clear" w:color="auto" w:fill="auto"/>
            <w:tcMar>
              <w:left w:w="108" w:type="dxa"/>
              <w:right w:w="108" w:type="dxa"/>
            </w:tcMar>
            <w:vAlign w:val="center"/>
          </w:tcPr>
          <w:p>
            <w:pPr>
              <w:widowControl/>
              <w:spacing w:line="260" w:lineRule="exact"/>
              <w:ind w:left="-103" w:leftChars="-51" w:right="-103" w:rightChars="-51"/>
              <w:jc w:val="center"/>
              <w:rPr>
                <w:rFonts w:hint="eastAsia" w:ascii="仿宋" w:hAnsi="仿宋" w:eastAsia="仿宋" w:cs="仿宋"/>
                <w:b w:val="0"/>
                <w:bCs/>
                <w:sz w:val="28"/>
                <w:szCs w:val="28"/>
              </w:rPr>
            </w:pPr>
            <w:r>
              <w:rPr>
                <w:rFonts w:hint="eastAsia" w:ascii="仿宋" w:hAnsi="仿宋" w:eastAsia="仿宋" w:cs="仿宋"/>
                <w:b w:val="0"/>
                <w:bCs/>
                <w:sz w:val="28"/>
                <w:szCs w:val="28"/>
              </w:rPr>
              <w:t>科研机构</w:t>
            </w:r>
          </w:p>
        </w:tc>
        <w:tc>
          <w:tcPr>
            <w:tcW w:w="571" w:type="dxa"/>
            <w:shd w:val="clear" w:color="auto" w:fill="auto"/>
            <w:tcMar>
              <w:left w:w="108" w:type="dxa"/>
              <w:right w:w="108" w:type="dxa"/>
            </w:tcMar>
            <w:vAlign w:val="center"/>
          </w:tcPr>
          <w:p>
            <w:pPr>
              <w:widowControl/>
              <w:spacing w:line="260" w:lineRule="exact"/>
              <w:ind w:left="-103" w:leftChars="-51" w:right="-103" w:rightChars="-51"/>
              <w:jc w:val="center"/>
              <w:rPr>
                <w:rFonts w:hint="eastAsia" w:ascii="仿宋" w:hAnsi="仿宋" w:eastAsia="仿宋" w:cs="仿宋"/>
                <w:b w:val="0"/>
                <w:bCs/>
                <w:sz w:val="28"/>
                <w:szCs w:val="28"/>
              </w:rPr>
            </w:pPr>
            <w:r>
              <w:rPr>
                <w:rFonts w:hint="eastAsia" w:ascii="仿宋" w:hAnsi="仿宋" w:eastAsia="仿宋" w:cs="仿宋"/>
                <w:b w:val="0"/>
                <w:bCs/>
                <w:sz w:val="28"/>
                <w:szCs w:val="28"/>
              </w:rPr>
              <w:t>社会公益组织</w:t>
            </w:r>
          </w:p>
        </w:tc>
        <w:tc>
          <w:tcPr>
            <w:tcW w:w="567" w:type="dxa"/>
            <w:shd w:val="clear" w:color="auto" w:fill="auto"/>
            <w:tcMar>
              <w:left w:w="108" w:type="dxa"/>
              <w:right w:w="108" w:type="dxa"/>
            </w:tcMar>
            <w:vAlign w:val="center"/>
          </w:tcPr>
          <w:p>
            <w:pPr>
              <w:widowControl/>
              <w:spacing w:line="260" w:lineRule="exact"/>
              <w:ind w:left="-102" w:leftChars="-51" w:right="-103" w:rightChars="-51" w:hanging="1"/>
              <w:jc w:val="center"/>
              <w:rPr>
                <w:rFonts w:hint="eastAsia" w:ascii="仿宋" w:hAnsi="仿宋" w:eastAsia="仿宋" w:cs="仿宋"/>
                <w:b w:val="0"/>
                <w:bCs/>
                <w:sz w:val="28"/>
                <w:szCs w:val="28"/>
              </w:rPr>
            </w:pPr>
            <w:r>
              <w:rPr>
                <w:rFonts w:hint="eastAsia" w:ascii="仿宋" w:hAnsi="仿宋" w:eastAsia="仿宋" w:cs="仿宋"/>
                <w:b w:val="0"/>
                <w:bCs/>
                <w:sz w:val="28"/>
                <w:szCs w:val="28"/>
              </w:rPr>
              <w:t>法律服务机构</w:t>
            </w:r>
          </w:p>
        </w:tc>
        <w:tc>
          <w:tcPr>
            <w:tcW w:w="567" w:type="dxa"/>
            <w:shd w:val="clear" w:color="auto" w:fill="auto"/>
            <w:tcMar>
              <w:left w:w="108" w:type="dxa"/>
              <w:right w:w="108" w:type="dxa"/>
            </w:tcMar>
            <w:vAlign w:val="center"/>
          </w:tcPr>
          <w:p>
            <w:pPr>
              <w:widowControl/>
              <w:spacing w:line="260" w:lineRule="exact"/>
              <w:ind w:left="-60" w:leftChars="-30" w:right="-129" w:rightChars="-64"/>
              <w:jc w:val="center"/>
              <w:rPr>
                <w:rFonts w:hint="eastAsia" w:ascii="仿宋" w:hAnsi="仿宋" w:eastAsia="仿宋" w:cs="仿宋"/>
                <w:b w:val="0"/>
                <w:bCs/>
                <w:sz w:val="28"/>
                <w:szCs w:val="28"/>
              </w:rPr>
            </w:pPr>
            <w:r>
              <w:rPr>
                <w:rFonts w:hint="eastAsia" w:ascii="仿宋" w:hAnsi="仿宋" w:eastAsia="仿宋" w:cs="仿宋"/>
                <w:b w:val="0"/>
                <w:bCs/>
                <w:sz w:val="28"/>
                <w:szCs w:val="28"/>
              </w:rPr>
              <w:t>其他</w:t>
            </w:r>
          </w:p>
        </w:tc>
        <w:tc>
          <w:tcPr>
            <w:tcW w:w="461" w:type="dxa"/>
            <w:vMerge w:val="continue"/>
            <w:shd w:val="clear" w:color="auto" w:fill="auto"/>
            <w:tcMar>
              <w:left w:w="108" w:type="dxa"/>
              <w:right w:w="108" w:type="dxa"/>
            </w:tcMar>
            <w:vAlign w:val="center"/>
          </w:tcPr>
          <w:p>
            <w:pPr>
              <w:spacing w:line="260" w:lineRule="exact"/>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6"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一、本年新收政府信息公开申请数量</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7"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二、上年结转政府信息公开申请数量</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955"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三、本年度办理结果</w:t>
            </w: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（一）予以公开</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7"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（二）部分公开（区分处理的，只计这一情形，不计其他情形）</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（三）不予公开</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1.属于国家秘密</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7"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2.其他法律行政法规禁止公开</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7"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3.危及“三安全一稳定”</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7"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4.保护第三方合法权益</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5.属于三类内部事务信息</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3"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6.属于四类过程性信息</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7.属于行政执法案卷</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8.属于行政查询事项</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（四）无法提供</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1.本机关不掌握相关政府信息</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3"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2.没有现成信息需要另行制作</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7"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w:t>
            </w:r>
            <w:r>
              <w:rPr>
                <w:rFonts w:hint="eastAsia" w:ascii="仿宋" w:hAnsi="仿宋" w:eastAsia="仿宋" w:cs="仿宋"/>
                <w:b w:val="0"/>
                <w:bCs/>
                <w:spacing w:val="-8"/>
                <w:sz w:val="28"/>
                <w:szCs w:val="28"/>
              </w:rPr>
              <w:t>补正后申请内容仍不明确</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（五）不予处理</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1.信访举报投诉类申请</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p>
        </w:tc>
        <w:tc>
          <w:tcPr>
            <w:tcW w:w="2581" w:type="dxa"/>
            <w:shd w:val="clear" w:color="auto" w:fill="auto"/>
            <w:tcMar>
              <w:left w:w="108" w:type="dxa"/>
              <w:right w:w="108" w:type="dxa"/>
            </w:tcMar>
            <w:vAlign w:val="center"/>
          </w:tcPr>
          <w:p>
            <w:pPr>
              <w:widowControl/>
              <w:spacing w:line="260" w:lineRule="exact"/>
              <w:rPr>
                <w:rFonts w:hint="eastAsia" w:ascii="仿宋" w:hAnsi="仿宋" w:eastAsia="仿宋" w:cs="仿宋"/>
                <w:b w:val="0"/>
                <w:bCs/>
                <w:sz w:val="28"/>
                <w:szCs w:val="28"/>
              </w:rPr>
            </w:pPr>
            <w:r>
              <w:rPr>
                <w:rFonts w:hint="eastAsia" w:ascii="仿宋" w:hAnsi="仿宋" w:eastAsia="仿宋" w:cs="仿宋"/>
                <w:b w:val="0"/>
                <w:bCs/>
                <w:sz w:val="28"/>
                <w:szCs w:val="28"/>
              </w:rPr>
              <w:t>2.重复申请</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3.要求提供公开出版物</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4.</w:t>
            </w:r>
            <w:r>
              <w:rPr>
                <w:rFonts w:hint="eastAsia" w:ascii="仿宋" w:hAnsi="仿宋" w:eastAsia="仿宋" w:cs="仿宋"/>
                <w:b w:val="0"/>
                <w:bCs/>
                <w:spacing w:val="-8"/>
                <w:sz w:val="28"/>
                <w:szCs w:val="28"/>
              </w:rPr>
              <w:t>无正当理由大量反复申请</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3"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5.要求行政机关确认或重新出具已获取信息</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（六）其他处理</w:t>
            </w: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w:t>
            </w:r>
            <w:r>
              <w:rPr>
                <w:rFonts w:hint="eastAsia" w:ascii="仿宋" w:hAnsi="仿宋" w:eastAsia="仿宋" w:cs="仿宋"/>
                <w:b w:val="0"/>
                <w:bCs/>
                <w:color w:val="000000"/>
                <w:sz w:val="28"/>
                <w:szCs w:val="28"/>
              </w:rPr>
              <w:t>.申请人无正当理由逾期不补正、行政机关不再处理其政府信息公开申请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4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eastAsia" w:ascii="仿宋" w:hAnsi="仿宋" w:eastAsia="仿宋" w:cs="仿宋"/>
                <w:b w:val="0"/>
                <w:bCs/>
                <w:sz w:val="28"/>
                <w:szCs w:val="28"/>
              </w:rPr>
            </w:pP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w:t>
            </w:r>
            <w:r>
              <w:rPr>
                <w:rFonts w:hint="eastAsia" w:ascii="仿宋" w:hAnsi="仿宋" w:eastAsia="仿宋" w:cs="仿宋"/>
                <w:b w:val="0"/>
                <w:bCs/>
                <w:color w:val="000000"/>
                <w:sz w:val="28"/>
                <w:szCs w:val="28"/>
              </w:rPr>
              <w:t>.申请人逾期未按收费通知要求缴纳费用、行政机关不再处理其政府信息公开申请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eastAsia" w:ascii="仿宋" w:hAnsi="仿宋" w:eastAsia="仿宋" w:cs="仿宋"/>
                <w:b w:val="0"/>
                <w:bCs/>
                <w:sz w:val="28"/>
                <w:szCs w:val="28"/>
              </w:rPr>
            </w:pPr>
          </w:p>
        </w:tc>
        <w:tc>
          <w:tcPr>
            <w:tcW w:w="2581" w:type="dxa"/>
            <w:shd w:val="clear" w:color="auto" w:fill="auto"/>
            <w:vAlign w:val="center"/>
          </w:tcPr>
          <w:p>
            <w:pPr>
              <w:widowControl/>
              <w:spacing w:line="260" w:lineRule="exact"/>
              <w:rPr>
                <w:rFonts w:hint="eastAsia" w:ascii="仿宋" w:hAnsi="仿宋" w:eastAsia="仿宋" w:cs="仿宋"/>
                <w:b w:val="0"/>
                <w:bCs/>
                <w:sz w:val="28"/>
                <w:szCs w:val="28"/>
              </w:rPr>
            </w:pPr>
            <w:r>
              <w:rPr>
                <w:rFonts w:hint="eastAsia" w:ascii="仿宋" w:hAnsi="仿宋" w:eastAsia="仿宋" w:cs="仿宋"/>
                <w:b w:val="0"/>
                <w:bCs/>
                <w:sz w:val="28"/>
                <w:szCs w:val="28"/>
              </w:rPr>
              <w:t>3.其他</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（七）总计</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9"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四、结转下年度继续办理</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0</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textAlignment w:val="auto"/>
        <w:rPr>
          <w:rFonts w:hint="default" w:ascii="Times New Roman" w:hAnsi="Times New Roman" w:eastAsia="文星仿宋" w:cs="Times New Roman"/>
          <w:b w:val="0"/>
          <w:bCs/>
          <w:color w:val="000000"/>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因政府信息公开工作被申请行政复议、提起行政诉讼情况</w:t>
      </w:r>
      <w:bookmarkStart w:id="0" w:name="_GoBack"/>
      <w:bookmarkEnd w:id="0"/>
    </w:p>
    <w:tbl>
      <w:tblPr>
        <w:tblStyle w:val="5"/>
        <w:tblW w:w="8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行政复议</w:t>
            </w:r>
          </w:p>
        </w:tc>
        <w:tc>
          <w:tcPr>
            <w:tcW w:w="5922" w:type="dxa"/>
            <w:gridSpan w:val="10"/>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pPr>
              <w:widowControl/>
              <w:spacing w:line="320" w:lineRule="exact"/>
              <w:ind w:left="-143" w:leftChars="-71" w:right="-163" w:rightChars="-81"/>
              <w:jc w:val="center"/>
              <w:rPr>
                <w:rFonts w:hint="eastAsia" w:ascii="仿宋" w:hAnsi="仿宋" w:eastAsia="仿宋" w:cs="仿宋"/>
                <w:b w:val="0"/>
                <w:bCs/>
                <w:sz w:val="28"/>
                <w:szCs w:val="28"/>
              </w:rPr>
            </w:pPr>
            <w:r>
              <w:rPr>
                <w:rFonts w:hint="eastAsia" w:ascii="仿宋" w:hAnsi="仿宋" w:eastAsia="仿宋" w:cs="仿宋"/>
                <w:b w:val="0"/>
                <w:bCs/>
                <w:sz w:val="28"/>
                <w:szCs w:val="28"/>
              </w:rPr>
              <w:t>结果</w:t>
            </w:r>
          </w:p>
          <w:p>
            <w:pPr>
              <w:widowControl/>
              <w:spacing w:line="320" w:lineRule="exact"/>
              <w:ind w:left="-143" w:leftChars="-71" w:right="-163" w:rightChars="-81"/>
              <w:jc w:val="center"/>
              <w:rPr>
                <w:rFonts w:hint="eastAsia" w:ascii="仿宋" w:hAnsi="仿宋" w:eastAsia="仿宋" w:cs="仿宋"/>
                <w:b w:val="0"/>
                <w:bCs/>
                <w:sz w:val="28"/>
                <w:szCs w:val="28"/>
              </w:rPr>
            </w:pPr>
            <w:r>
              <w:rPr>
                <w:rFonts w:hint="eastAsia" w:ascii="仿宋" w:hAnsi="仿宋" w:eastAsia="仿宋" w:cs="仿宋"/>
                <w:b w:val="0"/>
                <w:bCs/>
                <w:sz w:val="28"/>
                <w:szCs w:val="28"/>
              </w:rPr>
              <w:t>维持</w:t>
            </w:r>
          </w:p>
        </w:tc>
        <w:tc>
          <w:tcPr>
            <w:tcW w:w="604" w:type="dxa"/>
            <w:vMerge w:val="restart"/>
            <w:shd w:val="clear" w:color="auto" w:fill="auto"/>
            <w:tcMar>
              <w:left w:w="108" w:type="dxa"/>
              <w:right w:w="108" w:type="dxa"/>
            </w:tcMar>
            <w:vAlign w:val="center"/>
          </w:tcPr>
          <w:p>
            <w:pPr>
              <w:widowControl/>
              <w:spacing w:line="320" w:lineRule="exact"/>
              <w:ind w:left="-41" w:leftChars="-21" w:right="-127" w:rightChars="-63" w:hanging="1"/>
              <w:jc w:val="center"/>
              <w:rPr>
                <w:rFonts w:hint="eastAsia" w:ascii="仿宋" w:hAnsi="仿宋" w:eastAsia="仿宋" w:cs="仿宋"/>
                <w:b w:val="0"/>
                <w:bCs/>
                <w:sz w:val="28"/>
                <w:szCs w:val="28"/>
              </w:rPr>
            </w:pPr>
            <w:r>
              <w:rPr>
                <w:rFonts w:hint="eastAsia" w:ascii="仿宋" w:hAnsi="仿宋" w:eastAsia="仿宋" w:cs="仿宋"/>
                <w:b w:val="0"/>
                <w:bCs/>
                <w:sz w:val="28"/>
                <w:szCs w:val="28"/>
              </w:rPr>
              <w:t>结果纠正</w:t>
            </w:r>
          </w:p>
        </w:tc>
        <w:tc>
          <w:tcPr>
            <w:tcW w:w="604" w:type="dxa"/>
            <w:vMerge w:val="restart"/>
            <w:shd w:val="clear" w:color="auto" w:fill="auto"/>
            <w:tcMar>
              <w:left w:w="108" w:type="dxa"/>
              <w:right w:w="108" w:type="dxa"/>
            </w:tcMar>
            <w:vAlign w:val="center"/>
          </w:tcPr>
          <w:p>
            <w:pPr>
              <w:widowControl/>
              <w:spacing w:line="320" w:lineRule="exact"/>
              <w:ind w:left="-78" w:leftChars="-39" w:right="-92" w:rightChars="-46"/>
              <w:jc w:val="center"/>
              <w:rPr>
                <w:rFonts w:hint="eastAsia" w:ascii="仿宋" w:hAnsi="仿宋" w:eastAsia="仿宋" w:cs="仿宋"/>
                <w:b w:val="0"/>
                <w:bCs/>
                <w:sz w:val="28"/>
                <w:szCs w:val="28"/>
              </w:rPr>
            </w:pPr>
            <w:r>
              <w:rPr>
                <w:rFonts w:hint="eastAsia" w:ascii="仿宋" w:hAnsi="仿宋" w:eastAsia="仿宋" w:cs="仿宋"/>
                <w:b w:val="0"/>
                <w:bCs/>
                <w:sz w:val="28"/>
                <w:szCs w:val="28"/>
              </w:rPr>
              <w:t>其他结果</w:t>
            </w:r>
          </w:p>
        </w:tc>
        <w:tc>
          <w:tcPr>
            <w:tcW w:w="604" w:type="dxa"/>
            <w:vMerge w:val="restart"/>
            <w:shd w:val="clear" w:color="auto" w:fill="auto"/>
            <w:tcMar>
              <w:left w:w="108" w:type="dxa"/>
              <w:right w:w="108" w:type="dxa"/>
            </w:tcMar>
            <w:vAlign w:val="center"/>
          </w:tcPr>
          <w:p>
            <w:pPr>
              <w:widowControl/>
              <w:spacing w:line="320" w:lineRule="exact"/>
              <w:ind w:left="-113" w:leftChars="-56" w:right="-113" w:rightChars="-56"/>
              <w:jc w:val="center"/>
              <w:rPr>
                <w:rFonts w:hint="eastAsia" w:ascii="仿宋" w:hAnsi="仿宋" w:eastAsia="仿宋" w:cs="仿宋"/>
                <w:b w:val="0"/>
                <w:bCs/>
                <w:sz w:val="28"/>
                <w:szCs w:val="28"/>
              </w:rPr>
            </w:pPr>
            <w:r>
              <w:rPr>
                <w:rFonts w:hint="eastAsia" w:ascii="仿宋" w:hAnsi="仿宋" w:eastAsia="仿宋" w:cs="仿宋"/>
                <w:b w:val="0"/>
                <w:bCs/>
                <w:sz w:val="28"/>
                <w:szCs w:val="28"/>
              </w:rPr>
              <w:t>尚未</w:t>
            </w:r>
          </w:p>
          <w:p>
            <w:pPr>
              <w:widowControl/>
              <w:spacing w:line="320" w:lineRule="exact"/>
              <w:ind w:left="-113" w:leftChars="-56" w:right="-113" w:rightChars="-56"/>
              <w:jc w:val="center"/>
              <w:rPr>
                <w:rFonts w:hint="eastAsia" w:ascii="仿宋" w:hAnsi="仿宋" w:eastAsia="仿宋" w:cs="仿宋"/>
                <w:b w:val="0"/>
                <w:bCs/>
                <w:sz w:val="28"/>
                <w:szCs w:val="28"/>
              </w:rPr>
            </w:pPr>
            <w:r>
              <w:rPr>
                <w:rFonts w:hint="eastAsia" w:ascii="仿宋" w:hAnsi="仿宋" w:eastAsia="仿宋" w:cs="仿宋"/>
                <w:b w:val="0"/>
                <w:bCs/>
                <w:sz w:val="28"/>
                <w:szCs w:val="28"/>
              </w:rPr>
              <w:t>审结</w:t>
            </w:r>
          </w:p>
        </w:tc>
        <w:tc>
          <w:tcPr>
            <w:tcW w:w="479" w:type="dxa"/>
            <w:vMerge w:val="restart"/>
            <w:shd w:val="clear" w:color="auto" w:fill="auto"/>
            <w:tcMar>
              <w:left w:w="108" w:type="dxa"/>
              <w:right w:w="108" w:type="dxa"/>
            </w:tcMar>
            <w:vAlign w:val="center"/>
          </w:tcPr>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总</w:t>
            </w:r>
          </w:p>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计</w:t>
            </w:r>
          </w:p>
        </w:tc>
        <w:tc>
          <w:tcPr>
            <w:tcW w:w="2943" w:type="dxa"/>
            <w:gridSpan w:val="5"/>
            <w:shd w:val="clear" w:color="auto" w:fill="auto"/>
            <w:tcMar>
              <w:left w:w="108" w:type="dxa"/>
              <w:right w:w="108" w:type="dxa"/>
            </w:tcMar>
            <w:vAlign w:val="center"/>
          </w:tcPr>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未经复议直接起诉</w:t>
            </w:r>
          </w:p>
        </w:tc>
        <w:tc>
          <w:tcPr>
            <w:tcW w:w="2979" w:type="dxa"/>
            <w:gridSpan w:val="5"/>
            <w:shd w:val="clear" w:color="auto" w:fill="auto"/>
            <w:tcMar>
              <w:left w:w="108" w:type="dxa"/>
              <w:right w:w="108" w:type="dxa"/>
            </w:tcMar>
            <w:vAlign w:val="center"/>
          </w:tcPr>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val="0"/>
                <w:bCs/>
                <w:sz w:val="28"/>
                <w:szCs w:val="28"/>
              </w:rPr>
            </w:pPr>
          </w:p>
        </w:tc>
        <w:tc>
          <w:tcPr>
            <w:tcW w:w="479" w:type="dxa"/>
            <w:vMerge w:val="continue"/>
            <w:shd w:val="clear" w:color="auto" w:fill="auto"/>
            <w:tcMar>
              <w:left w:w="108" w:type="dxa"/>
              <w:right w:w="108" w:type="dxa"/>
            </w:tcMar>
            <w:vAlign w:val="center"/>
          </w:tcPr>
          <w:p>
            <w:pPr>
              <w:spacing w:line="320" w:lineRule="exact"/>
              <w:rPr>
                <w:rFonts w:hint="eastAsia" w:ascii="仿宋" w:hAnsi="仿宋" w:eastAsia="仿宋" w:cs="仿宋"/>
                <w:b w:val="0"/>
                <w:bCs/>
                <w:sz w:val="28"/>
                <w:szCs w:val="28"/>
              </w:rPr>
            </w:pPr>
          </w:p>
        </w:tc>
        <w:tc>
          <w:tcPr>
            <w:tcW w:w="550" w:type="dxa"/>
            <w:shd w:val="clear" w:color="auto" w:fill="auto"/>
            <w:tcMar>
              <w:left w:w="108" w:type="dxa"/>
              <w:right w:w="108" w:type="dxa"/>
            </w:tcMar>
            <w:vAlign w:val="center"/>
          </w:tcPr>
          <w:p>
            <w:pPr>
              <w:widowControl/>
              <w:spacing w:line="320" w:lineRule="exact"/>
              <w:ind w:left="-101" w:leftChars="-50" w:right="-121" w:rightChars="-60"/>
              <w:jc w:val="center"/>
              <w:rPr>
                <w:rFonts w:hint="eastAsia" w:ascii="仿宋" w:hAnsi="仿宋" w:eastAsia="仿宋" w:cs="仿宋"/>
                <w:b w:val="0"/>
                <w:bCs/>
                <w:sz w:val="28"/>
                <w:szCs w:val="28"/>
              </w:rPr>
            </w:pPr>
            <w:r>
              <w:rPr>
                <w:rFonts w:hint="eastAsia" w:ascii="仿宋" w:hAnsi="仿宋" w:eastAsia="仿宋" w:cs="仿宋"/>
                <w:b w:val="0"/>
                <w:bCs/>
                <w:sz w:val="28"/>
                <w:szCs w:val="28"/>
              </w:rPr>
              <w:t>结果维持</w:t>
            </w:r>
          </w:p>
        </w:tc>
        <w:tc>
          <w:tcPr>
            <w:tcW w:w="605" w:type="dxa"/>
            <w:shd w:val="clear" w:color="auto" w:fill="auto"/>
            <w:tcMar>
              <w:left w:w="108" w:type="dxa"/>
              <w:right w:w="108" w:type="dxa"/>
            </w:tcMar>
            <w:vAlign w:val="center"/>
          </w:tcPr>
          <w:p>
            <w:pPr>
              <w:widowControl/>
              <w:spacing w:line="320" w:lineRule="exact"/>
              <w:ind w:left="-82" w:leftChars="-41" w:right="-84" w:rightChars="-42"/>
              <w:jc w:val="center"/>
              <w:rPr>
                <w:rFonts w:hint="eastAsia" w:ascii="仿宋" w:hAnsi="仿宋" w:eastAsia="仿宋" w:cs="仿宋"/>
                <w:b w:val="0"/>
                <w:bCs/>
                <w:sz w:val="28"/>
                <w:szCs w:val="28"/>
              </w:rPr>
            </w:pPr>
            <w:r>
              <w:rPr>
                <w:rFonts w:hint="eastAsia" w:ascii="仿宋" w:hAnsi="仿宋" w:eastAsia="仿宋" w:cs="仿宋"/>
                <w:b w:val="0"/>
                <w:bCs/>
                <w:sz w:val="28"/>
                <w:szCs w:val="28"/>
              </w:rPr>
              <w:t>结果纠正</w:t>
            </w:r>
          </w:p>
        </w:tc>
        <w:tc>
          <w:tcPr>
            <w:tcW w:w="605" w:type="dxa"/>
            <w:shd w:val="clear" w:color="auto" w:fill="auto"/>
            <w:tcMar>
              <w:left w:w="108" w:type="dxa"/>
              <w:right w:w="108" w:type="dxa"/>
            </w:tcMar>
            <w:vAlign w:val="center"/>
          </w:tcPr>
          <w:p>
            <w:pPr>
              <w:widowControl/>
              <w:spacing w:line="320" w:lineRule="exact"/>
              <w:ind w:left="-121" w:leftChars="-60" w:right="-131" w:rightChars="-65"/>
              <w:jc w:val="center"/>
              <w:rPr>
                <w:rFonts w:hint="eastAsia" w:ascii="仿宋" w:hAnsi="仿宋" w:eastAsia="仿宋" w:cs="仿宋"/>
                <w:b w:val="0"/>
                <w:bCs/>
                <w:sz w:val="28"/>
                <w:szCs w:val="28"/>
              </w:rPr>
            </w:pPr>
            <w:r>
              <w:rPr>
                <w:rFonts w:hint="eastAsia" w:ascii="仿宋" w:hAnsi="仿宋" w:eastAsia="仿宋" w:cs="仿宋"/>
                <w:b w:val="0"/>
                <w:bCs/>
                <w:sz w:val="28"/>
                <w:szCs w:val="28"/>
              </w:rPr>
              <w:t>其他</w:t>
            </w:r>
          </w:p>
          <w:p>
            <w:pPr>
              <w:widowControl/>
              <w:spacing w:line="320" w:lineRule="exact"/>
              <w:ind w:left="-121" w:leftChars="-60" w:right="-131" w:rightChars="-65"/>
              <w:jc w:val="center"/>
              <w:rPr>
                <w:rFonts w:hint="eastAsia" w:ascii="仿宋" w:hAnsi="仿宋" w:eastAsia="仿宋" w:cs="仿宋"/>
                <w:b w:val="0"/>
                <w:bCs/>
                <w:sz w:val="28"/>
                <w:szCs w:val="28"/>
              </w:rPr>
            </w:pPr>
            <w:r>
              <w:rPr>
                <w:rFonts w:hint="eastAsia" w:ascii="仿宋" w:hAnsi="仿宋" w:eastAsia="仿宋" w:cs="仿宋"/>
                <w:b w:val="0"/>
                <w:bCs/>
                <w:sz w:val="28"/>
                <w:szCs w:val="28"/>
              </w:rPr>
              <w:t>结果</w:t>
            </w:r>
          </w:p>
        </w:tc>
        <w:tc>
          <w:tcPr>
            <w:tcW w:w="605" w:type="dxa"/>
            <w:shd w:val="clear" w:color="auto" w:fill="auto"/>
            <w:tcMar>
              <w:left w:w="108" w:type="dxa"/>
              <w:right w:w="108" w:type="dxa"/>
            </w:tcMar>
            <w:vAlign w:val="center"/>
          </w:tcPr>
          <w:p>
            <w:pPr>
              <w:widowControl/>
              <w:spacing w:line="320" w:lineRule="exact"/>
              <w:ind w:left="-157" w:leftChars="-78" w:right="-147" w:rightChars="-73"/>
              <w:jc w:val="center"/>
              <w:rPr>
                <w:rFonts w:hint="eastAsia" w:ascii="仿宋" w:hAnsi="仿宋" w:eastAsia="仿宋" w:cs="仿宋"/>
                <w:b w:val="0"/>
                <w:bCs/>
                <w:sz w:val="28"/>
                <w:szCs w:val="28"/>
              </w:rPr>
            </w:pPr>
            <w:r>
              <w:rPr>
                <w:rFonts w:hint="eastAsia" w:ascii="仿宋" w:hAnsi="仿宋" w:eastAsia="仿宋" w:cs="仿宋"/>
                <w:b w:val="0"/>
                <w:bCs/>
                <w:sz w:val="28"/>
                <w:szCs w:val="28"/>
              </w:rPr>
              <w:t>尚未</w:t>
            </w:r>
          </w:p>
          <w:p>
            <w:pPr>
              <w:widowControl/>
              <w:spacing w:line="320" w:lineRule="exact"/>
              <w:ind w:left="-157" w:leftChars="-78" w:right="-147" w:rightChars="-73"/>
              <w:jc w:val="center"/>
              <w:rPr>
                <w:rFonts w:hint="eastAsia" w:ascii="仿宋" w:hAnsi="仿宋" w:eastAsia="仿宋" w:cs="仿宋"/>
                <w:b w:val="0"/>
                <w:bCs/>
                <w:sz w:val="28"/>
                <w:szCs w:val="28"/>
              </w:rPr>
            </w:pPr>
            <w:r>
              <w:rPr>
                <w:rFonts w:hint="eastAsia" w:ascii="仿宋" w:hAnsi="仿宋" w:eastAsia="仿宋" w:cs="仿宋"/>
                <w:b w:val="0"/>
                <w:bCs/>
                <w:sz w:val="28"/>
                <w:szCs w:val="28"/>
              </w:rPr>
              <w:t>审结</w:t>
            </w:r>
          </w:p>
        </w:tc>
        <w:tc>
          <w:tcPr>
            <w:tcW w:w="578" w:type="dxa"/>
            <w:shd w:val="clear" w:color="auto" w:fill="auto"/>
            <w:tcMar>
              <w:left w:w="108" w:type="dxa"/>
              <w:right w:w="108" w:type="dxa"/>
            </w:tcMar>
            <w:vAlign w:val="center"/>
          </w:tcPr>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总计</w:t>
            </w:r>
          </w:p>
        </w:tc>
        <w:tc>
          <w:tcPr>
            <w:tcW w:w="605" w:type="dxa"/>
            <w:shd w:val="clear" w:color="auto" w:fill="auto"/>
            <w:tcMar>
              <w:left w:w="108" w:type="dxa"/>
              <w:right w:w="108" w:type="dxa"/>
            </w:tcMar>
            <w:vAlign w:val="center"/>
          </w:tcPr>
          <w:p>
            <w:pPr>
              <w:widowControl/>
              <w:spacing w:line="320" w:lineRule="exact"/>
              <w:ind w:left="-94" w:leftChars="-47" w:right="-74" w:rightChars="-37"/>
              <w:jc w:val="center"/>
              <w:rPr>
                <w:rFonts w:hint="eastAsia" w:ascii="仿宋" w:hAnsi="仿宋" w:eastAsia="仿宋" w:cs="仿宋"/>
                <w:b w:val="0"/>
                <w:bCs/>
                <w:sz w:val="28"/>
                <w:szCs w:val="28"/>
              </w:rPr>
            </w:pPr>
            <w:r>
              <w:rPr>
                <w:rFonts w:hint="eastAsia" w:ascii="仿宋" w:hAnsi="仿宋" w:eastAsia="仿宋" w:cs="仿宋"/>
                <w:b w:val="0"/>
                <w:bCs/>
                <w:sz w:val="28"/>
                <w:szCs w:val="28"/>
              </w:rPr>
              <w:t>结果维持</w:t>
            </w:r>
          </w:p>
        </w:tc>
        <w:tc>
          <w:tcPr>
            <w:tcW w:w="605" w:type="dxa"/>
            <w:shd w:val="clear" w:color="auto" w:fill="auto"/>
            <w:tcMar>
              <w:left w:w="108" w:type="dxa"/>
              <w:right w:w="108" w:type="dxa"/>
            </w:tcMar>
            <w:vAlign w:val="center"/>
          </w:tcPr>
          <w:p>
            <w:pPr>
              <w:widowControl/>
              <w:spacing w:line="320" w:lineRule="exact"/>
              <w:ind w:left="-131" w:leftChars="-65" w:right="-119" w:rightChars="-59"/>
              <w:jc w:val="center"/>
              <w:rPr>
                <w:rFonts w:hint="eastAsia" w:ascii="仿宋" w:hAnsi="仿宋" w:eastAsia="仿宋" w:cs="仿宋"/>
                <w:b w:val="0"/>
                <w:bCs/>
                <w:sz w:val="28"/>
                <w:szCs w:val="28"/>
              </w:rPr>
            </w:pPr>
            <w:r>
              <w:rPr>
                <w:rFonts w:hint="eastAsia" w:ascii="仿宋" w:hAnsi="仿宋" w:eastAsia="仿宋" w:cs="仿宋"/>
                <w:b w:val="0"/>
                <w:bCs/>
                <w:sz w:val="28"/>
                <w:szCs w:val="28"/>
              </w:rPr>
              <w:t>结果</w:t>
            </w:r>
          </w:p>
          <w:p>
            <w:pPr>
              <w:widowControl/>
              <w:spacing w:line="320" w:lineRule="exact"/>
              <w:ind w:left="-131" w:leftChars="-65" w:right="-119" w:rightChars="-59"/>
              <w:jc w:val="center"/>
              <w:rPr>
                <w:rFonts w:hint="eastAsia" w:ascii="仿宋" w:hAnsi="仿宋" w:eastAsia="仿宋" w:cs="仿宋"/>
                <w:b w:val="0"/>
                <w:bCs/>
                <w:sz w:val="28"/>
                <w:szCs w:val="28"/>
              </w:rPr>
            </w:pPr>
            <w:r>
              <w:rPr>
                <w:rFonts w:hint="eastAsia" w:ascii="仿宋" w:hAnsi="仿宋" w:eastAsia="仿宋" w:cs="仿宋"/>
                <w:b w:val="0"/>
                <w:bCs/>
                <w:sz w:val="28"/>
                <w:szCs w:val="28"/>
              </w:rPr>
              <w:t>纠正</w:t>
            </w:r>
          </w:p>
        </w:tc>
        <w:tc>
          <w:tcPr>
            <w:tcW w:w="605" w:type="dxa"/>
            <w:shd w:val="clear" w:color="auto" w:fill="auto"/>
            <w:tcMar>
              <w:left w:w="108" w:type="dxa"/>
              <w:right w:w="108" w:type="dxa"/>
            </w:tcMar>
            <w:vAlign w:val="center"/>
          </w:tcPr>
          <w:p>
            <w:pPr>
              <w:widowControl/>
              <w:spacing w:line="320" w:lineRule="exact"/>
              <w:ind w:left="-166" w:leftChars="-83" w:right="-129" w:rightChars="-64" w:hanging="1"/>
              <w:jc w:val="center"/>
              <w:rPr>
                <w:rFonts w:hint="eastAsia" w:ascii="仿宋" w:hAnsi="仿宋" w:eastAsia="仿宋" w:cs="仿宋"/>
                <w:b w:val="0"/>
                <w:bCs/>
                <w:sz w:val="28"/>
                <w:szCs w:val="28"/>
              </w:rPr>
            </w:pPr>
            <w:r>
              <w:rPr>
                <w:rFonts w:hint="eastAsia" w:ascii="仿宋" w:hAnsi="仿宋" w:eastAsia="仿宋" w:cs="仿宋"/>
                <w:b w:val="0"/>
                <w:bCs/>
                <w:sz w:val="28"/>
                <w:szCs w:val="28"/>
              </w:rPr>
              <w:t>其他</w:t>
            </w:r>
          </w:p>
          <w:p>
            <w:pPr>
              <w:widowControl/>
              <w:spacing w:line="320" w:lineRule="exact"/>
              <w:ind w:left="-166" w:leftChars="-83" w:right="-129" w:rightChars="-64" w:hanging="1"/>
              <w:jc w:val="center"/>
              <w:rPr>
                <w:rFonts w:hint="eastAsia" w:ascii="仿宋" w:hAnsi="仿宋" w:eastAsia="仿宋" w:cs="仿宋"/>
                <w:b w:val="0"/>
                <w:bCs/>
                <w:sz w:val="28"/>
                <w:szCs w:val="28"/>
              </w:rPr>
            </w:pPr>
            <w:r>
              <w:rPr>
                <w:rFonts w:hint="eastAsia" w:ascii="仿宋" w:hAnsi="仿宋" w:eastAsia="仿宋" w:cs="仿宋"/>
                <w:b w:val="0"/>
                <w:bCs/>
                <w:sz w:val="28"/>
                <w:szCs w:val="28"/>
              </w:rPr>
              <w:t>结果</w:t>
            </w:r>
          </w:p>
        </w:tc>
        <w:tc>
          <w:tcPr>
            <w:tcW w:w="606" w:type="dxa"/>
            <w:shd w:val="clear" w:color="auto" w:fill="auto"/>
            <w:tcMar>
              <w:left w:w="108" w:type="dxa"/>
              <w:right w:w="108" w:type="dxa"/>
            </w:tcMar>
            <w:vAlign w:val="center"/>
          </w:tcPr>
          <w:p>
            <w:pPr>
              <w:widowControl/>
              <w:spacing w:line="320" w:lineRule="exact"/>
              <w:ind w:left="-64" w:leftChars="-33" w:right="-101" w:rightChars="-50" w:hanging="2" w:hangingChars="1"/>
              <w:jc w:val="center"/>
              <w:rPr>
                <w:rFonts w:hint="eastAsia" w:ascii="仿宋" w:hAnsi="仿宋" w:eastAsia="仿宋" w:cs="仿宋"/>
                <w:b w:val="0"/>
                <w:bCs/>
                <w:sz w:val="28"/>
                <w:szCs w:val="28"/>
              </w:rPr>
            </w:pPr>
            <w:r>
              <w:rPr>
                <w:rFonts w:hint="eastAsia" w:ascii="仿宋" w:hAnsi="仿宋" w:eastAsia="仿宋" w:cs="仿宋"/>
                <w:b w:val="0"/>
                <w:bCs/>
                <w:sz w:val="28"/>
                <w:szCs w:val="28"/>
              </w:rPr>
              <w:t>尚未审结</w:t>
            </w:r>
          </w:p>
        </w:tc>
        <w:tc>
          <w:tcPr>
            <w:tcW w:w="558" w:type="dxa"/>
            <w:shd w:val="clear" w:color="auto" w:fill="auto"/>
            <w:tcMar>
              <w:left w:w="108" w:type="dxa"/>
              <w:right w:w="108" w:type="dxa"/>
            </w:tcMar>
            <w:vAlign w:val="center"/>
          </w:tcPr>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04"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w:t>
            </w:r>
          </w:p>
        </w:tc>
        <w:tc>
          <w:tcPr>
            <w:tcW w:w="604"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479"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w:t>
            </w:r>
          </w:p>
        </w:tc>
        <w:tc>
          <w:tcPr>
            <w:tcW w:w="550"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78"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w:t>
            </w:r>
          </w:p>
        </w:tc>
        <w:tc>
          <w:tcPr>
            <w:tcW w:w="606"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58"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w:t>
            </w:r>
          </w:p>
        </w:tc>
      </w:tr>
    </w:tbl>
    <w:p>
      <w:pPr>
        <w:keepNext w:val="0"/>
        <w:keepLines w:val="0"/>
        <w:pageBreakBefore w:val="0"/>
        <w:kinsoku/>
        <w:wordWrap/>
        <w:overflowPunct/>
        <w:topLinePunct w:val="0"/>
        <w:autoSpaceDE/>
        <w:autoSpaceDN/>
        <w:bidi w:val="0"/>
        <w:adjustRightInd/>
        <w:snapToGrid/>
        <w:spacing w:line="240" w:lineRule="auto"/>
        <w:ind w:right="0" w:rightChars="0" w:firstLine="624"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五、存在的主要问题及改进情况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24" w:firstLineChars="200"/>
        <w:jc w:val="both"/>
        <w:textAlignment w:val="auto"/>
        <w:outlineLvl w:val="9"/>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2021年，我局政务公开工作取得了一定成效，但仍存在信息公开领域不够全和范围不够宽、公开信息相对比较集中等问题。2022年，我局将结合工作职能，继续加大信息公开力度，不断提升信息公开的质量和水平。</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24" w:firstLineChars="200"/>
        <w:jc w:val="both"/>
        <w:textAlignment w:val="auto"/>
        <w:outlineLvl w:val="9"/>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一是紧抓学习教育。在不影响工作的前提下，采取集中学习、讨论交流和自学提高的方式，组织全体干部职工加强政策学习并开展业务培训，提高审批服务局干部职工和审批一线工作人员政务公开服务水平。</w:t>
      </w:r>
    </w:p>
    <w:p>
      <w:pPr>
        <w:keepNext w:val="0"/>
        <w:keepLines w:val="0"/>
        <w:pageBreakBefore w:val="0"/>
        <w:kinsoku/>
        <w:wordWrap/>
        <w:overflowPunct/>
        <w:topLinePunct w:val="0"/>
        <w:autoSpaceDE/>
        <w:autoSpaceDN/>
        <w:bidi w:val="0"/>
        <w:adjustRightInd/>
        <w:snapToGrid/>
        <w:spacing w:line="240" w:lineRule="auto"/>
        <w:ind w:right="0" w:rightChars="0" w:firstLine="624"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二是拓宽公开渠道。做好门户网站、山东政务服务网系统维护工作，督促审批窗口依法审批、及时公开审批信息。开设政务服务大厅政务公开窗口，增设政务服务大厅公开查阅点，做好政府信息公开申请集中受理工作。</w:t>
      </w:r>
    </w:p>
    <w:p>
      <w:pPr>
        <w:keepNext w:val="0"/>
        <w:keepLines w:val="0"/>
        <w:pageBreakBefore w:val="0"/>
        <w:kinsoku/>
        <w:wordWrap/>
        <w:overflowPunct/>
        <w:topLinePunct w:val="0"/>
        <w:autoSpaceDE/>
        <w:autoSpaceDN/>
        <w:bidi w:val="0"/>
        <w:adjustRightInd/>
        <w:snapToGrid/>
        <w:spacing w:line="240" w:lineRule="auto"/>
        <w:ind w:right="0" w:rightChars="0" w:firstLine="624"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六、其他需要报告的事项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24" w:firstLineChars="200"/>
        <w:jc w:val="both"/>
        <w:textAlignment w:val="auto"/>
        <w:rPr>
          <w:rFonts w:hint="eastAsia" w:ascii="楷体" w:hAnsi="楷体" w:eastAsia="楷体" w:cs="楷体"/>
          <w:b w:val="0"/>
          <w:bCs/>
          <w:color w:val="000000"/>
          <w:sz w:val="32"/>
          <w:szCs w:val="32"/>
          <w:shd w:val="clear" w:color="auto" w:fill="FFFFFF"/>
        </w:rPr>
      </w:pPr>
      <w:r>
        <w:rPr>
          <w:rFonts w:hint="eastAsia" w:ascii="楷体" w:hAnsi="楷体" w:eastAsia="楷体" w:cs="楷体"/>
          <w:b w:val="0"/>
          <w:bCs/>
          <w:color w:val="000000"/>
          <w:sz w:val="32"/>
          <w:szCs w:val="32"/>
          <w:shd w:val="clear" w:color="auto" w:fill="FFFFFF"/>
        </w:rPr>
        <w:t>（一）收取信息费情况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24"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依据《政府信息公开信息处理费管理办法》，我局无信息处理费。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24" w:firstLineChars="200"/>
        <w:jc w:val="both"/>
        <w:textAlignment w:val="auto"/>
        <w:rPr>
          <w:rFonts w:hint="eastAsia" w:ascii="楷体" w:hAnsi="楷体" w:eastAsia="楷体" w:cs="楷体"/>
          <w:b w:val="0"/>
          <w:bCs/>
          <w:color w:val="000000"/>
          <w:sz w:val="32"/>
          <w:szCs w:val="32"/>
          <w:shd w:val="clear" w:color="auto" w:fill="FFFFFF"/>
        </w:rPr>
      </w:pPr>
      <w:r>
        <w:rPr>
          <w:rFonts w:hint="eastAsia" w:ascii="楷体" w:hAnsi="楷体" w:eastAsia="楷体" w:cs="楷体"/>
          <w:b w:val="0"/>
          <w:bCs/>
          <w:color w:val="000000"/>
          <w:sz w:val="32"/>
          <w:szCs w:val="32"/>
          <w:shd w:val="clear" w:color="auto" w:fill="FFFFFF"/>
        </w:rPr>
        <w:t>（二）落实上级年度政务公开工作要点情况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24" w:firstLineChars="200"/>
        <w:jc w:val="both"/>
        <w:textAlignment w:val="auto"/>
        <w:rPr>
          <w:rFonts w:hint="eastAsia" w:ascii="Times New Roman" w:hAnsi="Times New Roman" w:eastAsia="文星仿宋" w:cs="Times New Roman"/>
          <w:b w:val="0"/>
          <w:bCs/>
          <w:kern w:val="2"/>
          <w:sz w:val="32"/>
          <w:szCs w:val="32"/>
          <w:lang w:val="en-US" w:eastAsia="zh-CN" w:bidi="ar-SA"/>
        </w:rPr>
      </w:pPr>
      <w:r>
        <w:rPr>
          <w:rFonts w:hint="eastAsia" w:ascii="仿宋" w:hAnsi="仿宋" w:eastAsia="仿宋" w:cs="仿宋"/>
          <w:b w:val="0"/>
          <w:bCs/>
          <w:kern w:val="2"/>
          <w:sz w:val="32"/>
          <w:szCs w:val="32"/>
          <w:lang w:val="en-US" w:eastAsia="zh-CN" w:bidi="ar-SA"/>
        </w:rPr>
        <w:t>积极上传了《关于印发&lt;微山县设计方案审查和建设工程规划许可证“豁免”项目清单（第一批）&gt;的通知》、《关于村庄建设项目施行简易审批的实施办法》、《关于市政审批事项合并办理的通知》等优化营商环境相关政策文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24" w:firstLineChars="200"/>
        <w:jc w:val="both"/>
        <w:textAlignment w:val="auto"/>
        <w:rPr>
          <w:rFonts w:hint="eastAsia" w:ascii="楷体" w:hAnsi="楷体" w:eastAsia="楷体" w:cs="楷体"/>
          <w:b w:val="0"/>
          <w:bCs/>
          <w:color w:val="000000"/>
          <w:sz w:val="32"/>
          <w:szCs w:val="32"/>
          <w:shd w:val="clear" w:color="auto" w:fill="FFFFFF"/>
        </w:rPr>
      </w:pPr>
      <w:r>
        <w:rPr>
          <w:rFonts w:hint="eastAsia" w:ascii="楷体" w:hAnsi="楷体" w:eastAsia="楷体" w:cs="楷体"/>
          <w:b w:val="0"/>
          <w:bCs/>
          <w:color w:val="000000"/>
          <w:sz w:val="32"/>
          <w:szCs w:val="32"/>
          <w:shd w:val="clear" w:color="auto" w:fill="FFFFFF"/>
        </w:rPr>
        <w:t>（三）人大代表建议和政协提案情况</w:t>
      </w:r>
    </w:p>
    <w:p>
      <w:pPr>
        <w:keepNext w:val="0"/>
        <w:keepLines w:val="0"/>
        <w:pageBreakBefore w:val="0"/>
        <w:kinsoku/>
        <w:wordWrap/>
        <w:overflowPunct/>
        <w:topLinePunct w:val="0"/>
        <w:autoSpaceDE/>
        <w:autoSpaceDN/>
        <w:bidi w:val="0"/>
        <w:adjustRightInd/>
        <w:snapToGrid/>
        <w:spacing w:line="240" w:lineRule="auto"/>
        <w:ind w:right="0" w:rightChars="0" w:firstLine="624" w:firstLineChars="200"/>
        <w:textAlignment w:val="auto"/>
        <w:rPr>
          <w:rFonts w:hint="eastAsia" w:ascii="仿宋" w:hAnsi="仿宋" w:eastAsia="仿宋" w:cs="仿宋"/>
          <w:b w:val="0"/>
          <w:bCs/>
          <w:sz w:val="32"/>
          <w:szCs w:val="32"/>
        </w:rPr>
      </w:pPr>
      <w:r>
        <w:rPr>
          <w:rFonts w:hint="eastAsia" w:ascii="仿宋" w:hAnsi="仿宋" w:eastAsia="仿宋" w:cs="仿宋"/>
          <w:b w:val="0"/>
          <w:bCs/>
          <w:kern w:val="2"/>
          <w:sz w:val="32"/>
          <w:szCs w:val="32"/>
          <w:lang w:val="en-US" w:eastAsia="zh-CN" w:bidi="ar-SA"/>
        </w:rPr>
        <w:t>2021年，我局未收到县人大代表、政协委员提案。</w:t>
      </w:r>
    </w:p>
    <w:p>
      <w:pPr>
        <w:spacing w:line="590" w:lineRule="exact"/>
        <w:ind w:right="-101" w:rightChars="-50" w:firstLine="624" w:firstLineChars="200"/>
        <w:rPr>
          <w:rFonts w:hint="default" w:ascii="Times New Roman" w:hAnsi="Times New Roman" w:eastAsia="文星仿宋" w:cs="Times New Roman"/>
          <w:b/>
          <w:sz w:val="32"/>
          <w:szCs w:val="32"/>
        </w:rPr>
      </w:pPr>
    </w:p>
    <w:p>
      <w:pPr>
        <w:spacing w:line="590" w:lineRule="exact"/>
        <w:ind w:right="-101" w:rightChars="-50" w:firstLine="624" w:firstLineChars="200"/>
        <w:rPr>
          <w:rFonts w:hint="default" w:ascii="Times New Roman" w:hAnsi="Times New Roman" w:eastAsia="文星仿宋" w:cs="Times New Roman"/>
          <w:b/>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color w:val="000000"/>
          <w:sz w:val="32"/>
          <w:szCs w:val="32"/>
        </w:rPr>
      </w:pPr>
    </w:p>
    <w:sectPr>
      <w:footerReference r:id="rId5" w:type="first"/>
      <w:footerReference r:id="rId3" w:type="default"/>
      <w:footerReference r:id="rId4" w:type="even"/>
      <w:pgSz w:w="11906" w:h="16838"/>
      <w:pgMar w:top="2098" w:right="1474" w:bottom="1984"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2010609000101010101"/>
    <w:charset w:val="86"/>
    <w:family w:val="auto"/>
    <w:pitch w:val="default"/>
    <w:sig w:usb0="00000000" w:usb1="0000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文星黑体">
    <w:altName w:val="黑体"/>
    <w:panose1 w:val="02010609000101010101"/>
    <w:charset w:val="86"/>
    <w:family w:val="auto"/>
    <w:pitch w:val="default"/>
    <w:sig w:usb0="00000000" w:usb1="00000000" w:usb2="00000000" w:usb3="00000000" w:csb0="00040000" w:csb1="00000000"/>
  </w:font>
  <w:font w:name="文星楷体">
    <w:altName w:val="楷体_GB2312"/>
    <w:panose1 w:val="0201060900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21 -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21 -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20 -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5260975</wp:posOffset>
              </wp:positionH>
              <wp:positionV relativeFrom="paragraph">
                <wp:posOffset>-10795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4.25pt;margin-top:-0.85pt;height:144pt;width:144pt;mso-position-horizontal-relative:margin;mso-wrap-style:none;z-index:251660288;mso-width-relative:page;mso-height-relative:page;" filled="f" stroked="f" coordsize="21600,21600" o:gfxdata="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19M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ZDj4DYAAAACwEAAA8AAAAA&#10;AAAAAQAgAAAAIgAAAGRycy9kb3ducmV2LnhtbFBLAQIUABQAAAAIAIdO4kBe0JkVFAIAABMEAAAO&#10;AAAAAAAAAAEAIAAAACcBAABkcnMvZTJvRG9jLnhtbFBLBQYAAAAABgAGAFkBAACtBQ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42B4C"/>
    <w:rsid w:val="1D4D05E5"/>
    <w:rsid w:val="34854A8F"/>
    <w:rsid w:val="370A2D6B"/>
    <w:rsid w:val="3EAB0813"/>
    <w:rsid w:val="50694CF6"/>
    <w:rsid w:val="5E477751"/>
    <w:rsid w:val="BFFD6CAB"/>
    <w:rsid w:val="EB8690F9"/>
    <w:rsid w:val="F77F3C3D"/>
    <w:rsid w:val="FD696E21"/>
    <w:rsid w:val="FF6794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2288</Words>
  <Characters>2374</Characters>
  <Lines>0</Lines>
  <Paragraphs>0</Paragraphs>
  <TotalTime>31</TotalTime>
  <ScaleCrop>false</ScaleCrop>
  <LinksUpToDate>false</LinksUpToDate>
  <CharactersWithSpaces>2374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努力~奋斗</cp:lastModifiedBy>
  <cp:lastPrinted>2022-01-04T01:25:00Z</cp:lastPrinted>
  <dcterms:modified xsi:type="dcterms:W3CDTF">2022-01-25T03:08:12Z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3A7A4E56F1C54F2E8CEDE7EF442477A5</vt:lpwstr>
  </property>
</Properties>
</file>