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县卫生健康局2020年政府信息公开</w:t>
      </w:r>
    </w:p>
    <w:p>
      <w:pPr>
        <w:pStyle w:val="2"/>
        <w:keepNext w:val="0"/>
        <w:keepLines w:val="0"/>
        <w:pageBreakBefore w:val="0"/>
        <w:widowControl/>
        <w:suppressLineNumbers w:val="0"/>
        <w:kinsoku/>
        <w:wordWrap/>
        <w:overflowPunct/>
        <w:topLinePunct w:val="0"/>
        <w:autoSpaceDE/>
        <w:autoSpaceDN/>
        <w:bidi w:val="0"/>
        <w:adjustRightInd/>
        <w:snapToGrid w:val="0"/>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pStyle w:val="2"/>
        <w:keepNext w:val="0"/>
        <w:keepLines w:val="0"/>
        <w:widowControl/>
        <w:suppressLineNumbers w:val="0"/>
        <w:ind w:firstLine="480" w:firstLineChars="200"/>
        <w:jc w:val="left"/>
      </w:pPr>
      <w:r>
        <w:t>一、总体情况</w:t>
      </w:r>
    </w:p>
    <w:p>
      <w:pPr>
        <w:pStyle w:val="2"/>
        <w:keepNext w:val="0"/>
        <w:keepLines w:val="0"/>
        <w:widowControl/>
        <w:suppressLineNumbers w:val="0"/>
        <w:ind w:firstLine="480" w:firstLineChars="200"/>
        <w:jc w:val="left"/>
      </w:pPr>
      <w:r>
        <w:t>县卫生健康局以县政府门户网站信息公开平台为主渠道，主动公开政府信息46条，涉及会议公开、政策文件公开、行政权力运行公开等方面。依申请公开事项1个，已按照规定时间节点回复。各医疗卫生机构除在县政府网站上公开公布相关信息外，采用展板、LED屏、一体机等方式公布医疗服务价格、药物价格等信息。同时，严格执行住院“一日清单”制度，将每日花费详细情况书面告知病人。县人民医院、县中医院等有条件的医疗机构开设了微信公众号，详细公布了医院信息、诊疗服务、就医指南、便民须知等信息，方便大众查询。</w:t>
      </w:r>
    </w:p>
    <w:p>
      <w:pPr>
        <w:pStyle w:val="2"/>
        <w:keepNext w:val="0"/>
        <w:keepLines w:val="0"/>
        <w:widowControl/>
        <w:suppressLineNumbers w:val="0"/>
        <w:ind w:firstLine="480" w:firstLineChars="200"/>
        <w:jc w:val="left"/>
      </w:pPr>
      <w:r>
        <w:t>二、主动公开政府信息情况</w:t>
      </w:r>
    </w:p>
    <w:tbl>
      <w:tblPr>
        <w:tblStyle w:val="3"/>
        <w:tblW w:w="8640" w:type="dxa"/>
        <w:tblInd w:w="0" w:type="dxa"/>
        <w:shd w:val="clear" w:color="auto" w:fill="auto"/>
        <w:tblLayout w:type="fixed"/>
        <w:tblCellMar>
          <w:top w:w="15" w:type="dxa"/>
          <w:left w:w="15" w:type="dxa"/>
          <w:bottom w:w="15" w:type="dxa"/>
          <w:right w:w="15" w:type="dxa"/>
        </w:tblCellMar>
      </w:tblPr>
      <w:tblGrid>
        <w:gridCol w:w="3300"/>
        <w:gridCol w:w="1995"/>
        <w:gridCol w:w="1350"/>
        <w:gridCol w:w="1995"/>
      </w:tblGrid>
      <w:tr>
        <w:tblPrEx>
          <w:shd w:val="clear" w:color="auto" w:fill="auto"/>
          <w:tblCellMar>
            <w:top w:w="15" w:type="dxa"/>
            <w:left w:w="15" w:type="dxa"/>
            <w:bottom w:w="15" w:type="dxa"/>
            <w:right w:w="15" w:type="dxa"/>
          </w:tblCellMar>
        </w:tblPrEx>
        <w:trPr>
          <w:trHeight w:val="450" w:hRule="atLeast"/>
        </w:trPr>
        <w:tc>
          <w:tcPr>
            <w:tcW w:w="86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jc w:val="left"/>
            </w:pPr>
            <w:r>
              <w:rPr>
                <w:rFonts w:ascii="sans-serif" w:hAnsi="sans-serif" w:eastAsia="sans-serif" w:cs="sans-serif"/>
                <w:sz w:val="24"/>
                <w:szCs w:val="24"/>
              </w:rPr>
              <w:t>第二十条第（一）项</w:t>
            </w:r>
          </w:p>
        </w:tc>
      </w:tr>
      <w:tr>
        <w:tblPrEx>
          <w:shd w:val="clear" w:color="auto" w:fill="auto"/>
          <w:tblCellMar>
            <w:top w:w="15" w:type="dxa"/>
            <w:left w:w="15" w:type="dxa"/>
            <w:bottom w:w="15" w:type="dxa"/>
            <w:right w:w="15" w:type="dxa"/>
          </w:tblCellMar>
        </w:tblPrEx>
        <w:trPr>
          <w:trHeight w:val="795"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本年新</w:t>
            </w:r>
            <w:r>
              <w:rPr>
                <w:rFonts w:hint="default" w:ascii="sans-serif" w:hAnsi="sans-serif" w:eastAsia="sans-serif" w:cs="sans-serif"/>
                <w:sz w:val="24"/>
                <w:szCs w:val="24"/>
              </w:rPr>
              <w:br w:type="textWrapping"/>
            </w:r>
            <w:r>
              <w:rPr>
                <w:rFonts w:hint="default" w:ascii="sans-serif" w:hAnsi="sans-serif" w:eastAsia="sans-serif" w:cs="sans-serif"/>
                <w:sz w:val="24"/>
                <w:szCs w:val="24"/>
              </w:rPr>
              <w:t>制作数量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本年新</w:t>
            </w:r>
            <w:r>
              <w:rPr>
                <w:rFonts w:hint="default" w:ascii="sans-serif" w:hAnsi="sans-serif" w:eastAsia="sans-serif" w:cs="sans-serif"/>
                <w:sz w:val="24"/>
                <w:szCs w:val="24"/>
              </w:rPr>
              <w:br w:type="textWrapping"/>
            </w:r>
            <w:r>
              <w:rPr>
                <w:rFonts w:hint="default" w:ascii="sans-serif" w:hAnsi="sans-serif" w:eastAsia="sans-serif" w:cs="sans-serif"/>
                <w:sz w:val="24"/>
                <w:szCs w:val="24"/>
              </w:rPr>
              <w:t>公开数量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pPr>
            <w:r>
              <w:rPr>
                <w:rFonts w:hint="default" w:ascii="sans-serif" w:hAnsi="sans-serif" w:eastAsia="sans-serif" w:cs="sans-serif"/>
                <w:sz w:val="24"/>
                <w:szCs w:val="24"/>
              </w:rPr>
              <w:t>对外公开总数量</w:t>
            </w:r>
          </w:p>
        </w:tc>
      </w:tr>
      <w:tr>
        <w:tblPrEx>
          <w:shd w:val="clear" w:color="auto" w:fill="auto"/>
          <w:tblCellMar>
            <w:top w:w="15" w:type="dxa"/>
            <w:left w:w="15" w:type="dxa"/>
            <w:bottom w:w="15" w:type="dxa"/>
            <w:right w:w="15" w:type="dxa"/>
          </w:tblCellMar>
        </w:tblPrEx>
        <w:trPr>
          <w:trHeight w:val="465"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规章</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r>
      <w:tr>
        <w:tblPrEx>
          <w:shd w:val="clear" w:color="auto" w:fill="auto"/>
          <w:tblCellMar>
            <w:top w:w="15" w:type="dxa"/>
            <w:left w:w="15" w:type="dxa"/>
            <w:bottom w:w="15" w:type="dxa"/>
            <w:right w:w="15" w:type="dxa"/>
          </w:tblCellMar>
        </w:tblPrEx>
        <w:trPr>
          <w:trHeight w:val="420"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规范性文件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r>
      <w:tr>
        <w:tblPrEx>
          <w:shd w:val="clear" w:color="auto" w:fill="auto"/>
          <w:tblCellMar>
            <w:top w:w="15" w:type="dxa"/>
            <w:left w:w="15" w:type="dxa"/>
            <w:bottom w:w="15" w:type="dxa"/>
            <w:right w:w="15" w:type="dxa"/>
          </w:tblCellMar>
        </w:tblPrEx>
        <w:trPr>
          <w:trHeight w:val="435" w:hRule="atLeast"/>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第二十条第（五）项</w:t>
            </w:r>
          </w:p>
        </w:tc>
      </w:tr>
      <w:tr>
        <w:tblPrEx>
          <w:shd w:val="clear" w:color="auto" w:fill="auto"/>
          <w:tblCellMar>
            <w:top w:w="15" w:type="dxa"/>
            <w:left w:w="15" w:type="dxa"/>
            <w:bottom w:w="15" w:type="dxa"/>
            <w:right w:w="15" w:type="dxa"/>
          </w:tblCellMar>
        </w:tblPrEx>
        <w:trPr>
          <w:trHeight w:val="570"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处理决定数量</w:t>
            </w:r>
          </w:p>
        </w:tc>
      </w:tr>
      <w:tr>
        <w:tblPrEx>
          <w:shd w:val="clear" w:color="auto" w:fill="auto"/>
          <w:tblCellMar>
            <w:top w:w="15" w:type="dxa"/>
            <w:left w:w="15" w:type="dxa"/>
            <w:bottom w:w="15" w:type="dxa"/>
            <w:right w:w="15" w:type="dxa"/>
          </w:tblCellMar>
        </w:tblPrEx>
        <w:trPr>
          <w:trHeight w:val="480"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行政许可</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eastAsia" w:ascii="Times New Roman" w:hAnsi="Times New Roman" w:cs="Times New Roman" w:eastAsiaTheme="minorEastAsia"/>
                <w:lang w:eastAsia="zh-CN"/>
              </w:rPr>
            </w:pPr>
            <w:r>
              <w:rPr>
                <w:rFonts w:hint="eastAsia" w:ascii="Times New Roman" w:hAnsi="Times New Roman" w:eastAsia="宋体" w:cs="Times New Roman"/>
                <w:sz w:val="24"/>
                <w:szCs w:val="24"/>
                <w:lang w:val="en-US" w:eastAsia="zh-CN"/>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r>
      <w:tr>
        <w:tblPrEx>
          <w:shd w:val="clear" w:color="auto" w:fill="auto"/>
          <w:tblCellMar>
            <w:top w:w="15" w:type="dxa"/>
            <w:left w:w="15" w:type="dxa"/>
            <w:bottom w:w="15" w:type="dxa"/>
            <w:right w:w="15" w:type="dxa"/>
          </w:tblCellMar>
        </w:tblPrEx>
        <w:trPr>
          <w:trHeight w:val="495"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其他对外管理服务事项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eastAsia" w:ascii="Times New Roman" w:hAnsi="Times New Roman" w:cs="Times New Roman" w:eastAsiaTheme="minorEastAsia"/>
                <w:lang w:eastAsia="zh-CN"/>
              </w:rPr>
            </w:pPr>
            <w:r>
              <w:rPr>
                <w:rFonts w:hint="eastAsia" w:ascii="Times New Roman" w:hAnsi="Times New Roman" w:eastAsia="宋体" w:cs="Times New Roman"/>
                <w:sz w:val="24"/>
                <w:szCs w:val="24"/>
                <w:lang w:val="en-US" w:eastAsia="zh-CN"/>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r>
      <w:tr>
        <w:tblPrEx>
          <w:shd w:val="clear" w:color="auto" w:fill="auto"/>
          <w:tblCellMar>
            <w:top w:w="15" w:type="dxa"/>
            <w:left w:w="15" w:type="dxa"/>
            <w:bottom w:w="15" w:type="dxa"/>
            <w:right w:w="15" w:type="dxa"/>
          </w:tblCellMar>
        </w:tblPrEx>
        <w:trPr>
          <w:trHeight w:val="360" w:hRule="atLeast"/>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第二十条第（六）项</w:t>
            </w:r>
          </w:p>
        </w:tc>
      </w:tr>
      <w:tr>
        <w:tblPrEx>
          <w:shd w:val="clear" w:color="auto" w:fill="auto"/>
          <w:tblCellMar>
            <w:top w:w="15" w:type="dxa"/>
            <w:left w:w="15" w:type="dxa"/>
            <w:bottom w:w="15" w:type="dxa"/>
            <w:right w:w="15" w:type="dxa"/>
          </w:tblCellMar>
        </w:tblPrEx>
        <w:trPr>
          <w:trHeight w:val="570"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处理决定数量</w:t>
            </w:r>
          </w:p>
        </w:tc>
      </w:tr>
      <w:tr>
        <w:tblPrEx>
          <w:shd w:val="clear" w:color="auto" w:fill="auto"/>
          <w:tblCellMar>
            <w:top w:w="15" w:type="dxa"/>
            <w:left w:w="15" w:type="dxa"/>
            <w:bottom w:w="15" w:type="dxa"/>
            <w:right w:w="15" w:type="dxa"/>
          </w:tblCellMar>
        </w:tblPrEx>
        <w:trPr>
          <w:trHeight w:val="390"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行政处罚</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127</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eastAsia="宋体" w:cs="Times New Roman"/>
                <w:lang w:val="en-US" w:eastAsia="zh-CN"/>
              </w:rPr>
            </w:pPr>
            <w:r>
              <w:rPr>
                <w:rFonts w:hint="eastAsia" w:ascii="Times New Roman" w:hAnsi="Times New Roman" w:eastAsia="宋体" w:cs="Times New Roman"/>
                <w:sz w:val="24"/>
                <w:szCs w:val="24"/>
                <w:lang w:val="en-US" w:eastAsia="zh-CN"/>
              </w:rPr>
              <w:t>+131</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258</w:t>
            </w:r>
          </w:p>
        </w:tc>
      </w:tr>
      <w:tr>
        <w:tblPrEx>
          <w:shd w:val="clear" w:color="auto" w:fill="auto"/>
          <w:tblCellMar>
            <w:top w:w="15" w:type="dxa"/>
            <w:left w:w="15" w:type="dxa"/>
            <w:bottom w:w="15" w:type="dxa"/>
            <w:right w:w="15" w:type="dxa"/>
          </w:tblCellMar>
        </w:tblPrEx>
        <w:trPr>
          <w:trHeight w:val="375"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行政强制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eastAsia" w:ascii="Times New Roman" w:hAnsi="Times New Roman" w:cs="Times New Roman" w:eastAsiaTheme="minorEastAsia"/>
                <w:lang w:eastAsia="zh-CN"/>
              </w:rPr>
            </w:pPr>
            <w:r>
              <w:rPr>
                <w:rFonts w:hint="eastAsia" w:ascii="Times New Roman" w:hAnsi="Times New Roman" w:eastAsia="宋体" w:cs="Times New Roman"/>
                <w:sz w:val="24"/>
                <w:szCs w:val="24"/>
                <w:lang w:val="en-US" w:eastAsia="zh-CN"/>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r>
      <w:tr>
        <w:tblPrEx>
          <w:shd w:val="clear" w:color="auto" w:fill="auto"/>
          <w:tblCellMar>
            <w:top w:w="15" w:type="dxa"/>
            <w:left w:w="15" w:type="dxa"/>
            <w:bottom w:w="15" w:type="dxa"/>
            <w:right w:w="15" w:type="dxa"/>
          </w:tblCellMar>
        </w:tblPrEx>
        <w:trPr>
          <w:trHeight w:val="420" w:hRule="atLeast"/>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第二十条第（八）项</w:t>
            </w:r>
          </w:p>
        </w:tc>
      </w:tr>
      <w:tr>
        <w:tblPrEx>
          <w:shd w:val="clear" w:color="auto" w:fill="auto"/>
          <w:tblCellMar>
            <w:top w:w="15" w:type="dxa"/>
            <w:left w:w="15" w:type="dxa"/>
            <w:bottom w:w="15" w:type="dxa"/>
            <w:right w:w="15" w:type="dxa"/>
          </w:tblCellMar>
        </w:tblPrEx>
        <w:trPr>
          <w:trHeight w:val="240"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上一年项目数量</w:t>
            </w:r>
          </w:p>
        </w:tc>
        <w:tc>
          <w:tcPr>
            <w:tcW w:w="334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本年增/减</w:t>
            </w:r>
          </w:p>
        </w:tc>
      </w:tr>
      <w:tr>
        <w:tblPrEx>
          <w:shd w:val="clear" w:color="auto" w:fill="auto"/>
          <w:tblCellMar>
            <w:top w:w="15" w:type="dxa"/>
            <w:left w:w="15" w:type="dxa"/>
            <w:bottom w:w="15" w:type="dxa"/>
            <w:right w:w="15" w:type="dxa"/>
          </w:tblCellMar>
        </w:tblPrEx>
        <w:trPr>
          <w:trHeight w:val="495"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行政事业性收费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c>
          <w:tcPr>
            <w:tcW w:w="33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eastAsia" w:ascii="Times New Roman" w:hAnsi="Times New Roman" w:cs="Times New Roman" w:eastAsiaTheme="minorEastAsia"/>
                <w:lang w:eastAsia="zh-CN"/>
              </w:rPr>
            </w:pPr>
            <w:r>
              <w:rPr>
                <w:rFonts w:hint="eastAsia" w:ascii="Times New Roman" w:hAnsi="Times New Roman" w:eastAsia="宋体" w:cs="Times New Roman"/>
                <w:sz w:val="24"/>
                <w:szCs w:val="24"/>
                <w:lang w:val="en-US" w:eastAsia="zh-CN"/>
              </w:rPr>
              <w:t>0</w:t>
            </w:r>
          </w:p>
        </w:tc>
      </w:tr>
      <w:tr>
        <w:tblPrEx>
          <w:tblCellMar>
            <w:top w:w="15" w:type="dxa"/>
            <w:left w:w="15" w:type="dxa"/>
            <w:bottom w:w="15" w:type="dxa"/>
            <w:right w:w="15" w:type="dxa"/>
          </w:tblCellMar>
        </w:tblPrEx>
        <w:trPr>
          <w:trHeight w:val="435" w:hRule="atLeast"/>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第二十条第（九）项</w:t>
            </w:r>
          </w:p>
        </w:tc>
      </w:tr>
      <w:tr>
        <w:tblPrEx>
          <w:tblCellMar>
            <w:top w:w="15" w:type="dxa"/>
            <w:left w:w="15" w:type="dxa"/>
            <w:bottom w:w="15" w:type="dxa"/>
            <w:right w:w="15" w:type="dxa"/>
          </w:tblCellMar>
        </w:tblPrEx>
        <w:trPr>
          <w:trHeight w:val="525"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采购项目数量</w:t>
            </w:r>
          </w:p>
        </w:tc>
        <w:tc>
          <w:tcPr>
            <w:tcW w:w="334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采购总金额</w:t>
            </w:r>
          </w:p>
        </w:tc>
      </w:tr>
      <w:tr>
        <w:tblPrEx>
          <w:shd w:val="clear" w:color="auto" w:fill="auto"/>
          <w:tblCellMar>
            <w:top w:w="15" w:type="dxa"/>
            <w:left w:w="15" w:type="dxa"/>
            <w:bottom w:w="15" w:type="dxa"/>
            <w:right w:w="15" w:type="dxa"/>
          </w:tblCellMar>
        </w:tblPrEx>
        <w:trPr>
          <w:trHeight w:val="480" w:hRule="atLeast"/>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政府集中采购</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 11</w:t>
            </w:r>
          </w:p>
        </w:tc>
        <w:tc>
          <w:tcPr>
            <w:tcW w:w="33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 11368345元</w:t>
            </w:r>
          </w:p>
        </w:tc>
      </w:tr>
    </w:tbl>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cs="Times New Roman"/>
        </w:rPr>
        <w:t>三、收到和处理政府信息公开申请情况</w:t>
      </w:r>
    </w:p>
    <w:tbl>
      <w:tblPr>
        <w:tblStyle w:val="3"/>
        <w:tblW w:w="93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0"/>
        <w:gridCol w:w="930"/>
        <w:gridCol w:w="2278"/>
        <w:gridCol w:w="798"/>
        <w:gridCol w:w="740"/>
        <w:gridCol w:w="740"/>
        <w:gridCol w:w="798"/>
        <w:gridCol w:w="957"/>
        <w:gridCol w:w="696"/>
        <w:gridCol w:w="6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trPr>
        <w:tc>
          <w:tcPr>
            <w:tcW w:w="3898"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（本列数据的勾稽关系为：第一项加第二项之和，等于第三项加第四项之和）</w:t>
            </w:r>
          </w:p>
        </w:tc>
        <w:tc>
          <w:tcPr>
            <w:tcW w:w="5417"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5" w:hRule="atLeast"/>
        </w:trPr>
        <w:tc>
          <w:tcPr>
            <w:tcW w:w="389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79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自然人</w:t>
            </w:r>
          </w:p>
        </w:tc>
        <w:tc>
          <w:tcPr>
            <w:tcW w:w="3931"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法人或其他组织</w:t>
            </w:r>
          </w:p>
        </w:tc>
        <w:tc>
          <w:tcPr>
            <w:tcW w:w="68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5" w:hRule="atLeast"/>
        </w:trPr>
        <w:tc>
          <w:tcPr>
            <w:tcW w:w="389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79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商业企业</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科研机构</w:t>
            </w:r>
          </w:p>
        </w:tc>
        <w:tc>
          <w:tcPr>
            <w:tcW w:w="79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社会公益组织</w:t>
            </w:r>
          </w:p>
        </w:tc>
        <w:tc>
          <w:tcPr>
            <w:tcW w:w="95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法律服务机构</w:t>
            </w:r>
          </w:p>
        </w:tc>
        <w:tc>
          <w:tcPr>
            <w:tcW w:w="69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其他</w:t>
            </w:r>
          </w:p>
        </w:tc>
        <w:tc>
          <w:tcPr>
            <w:tcW w:w="68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 w:hRule="atLeast"/>
        </w:trPr>
        <w:tc>
          <w:tcPr>
            <w:tcW w:w="389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一、本年新收政府信息公开申请数量</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1</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trPr>
        <w:tc>
          <w:tcPr>
            <w:tcW w:w="389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二、上年结转政府信息公开申请数量</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trPr>
        <w:tc>
          <w:tcPr>
            <w:tcW w:w="69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三、本年度办理结果</w:t>
            </w:r>
          </w:p>
        </w:tc>
        <w:tc>
          <w:tcPr>
            <w:tcW w:w="320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（一）予以公开</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1</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320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（二）部分公开（区分处理的，只计这一情形，不计其他情形）</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（三）不予公开</w:t>
            </w: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1.属于国家秘密</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2.其他法律行政法规禁止公开</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3.危及“三安全一稳定”</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4.保护第三方合法权益</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5.属于三类内部事务信息</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6.属于四类过程性信息</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7.属于行政执法案卷</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8.属于行政查询事项</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（四）无法提供</w:t>
            </w: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1.本机关不掌握相关政府信息</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2.没有现成信息需要另行制作</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3.补正后申请内容仍不明确</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（五）不予处理</w:t>
            </w: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1.信访举报投诉类申请</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2.重复申请</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3.要求提供公开出版物</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4.无正当理由大量反复申请</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22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5.要求行政机关确认或重新出具已获取信息</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320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（六）其他处理</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320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（七）总计</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1</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1</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 w:hRule="atLeast"/>
        </w:trPr>
        <w:tc>
          <w:tcPr>
            <w:tcW w:w="389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四、结转下年度继续办理</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7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9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bl>
    <w:p>
      <w:pPr>
        <w:pStyle w:val="2"/>
        <w:keepNext w:val="0"/>
        <w:keepLines w:val="0"/>
        <w:widowControl/>
        <w:suppressLineNumbers w:val="0"/>
        <w:ind w:firstLine="480" w:firstLineChars="200"/>
        <w:jc w:val="left"/>
        <w:rPr>
          <w:rFonts w:hint="default" w:ascii="Times New Roman" w:hAnsi="Times New Roman" w:cs="Times New Roman"/>
        </w:rPr>
      </w:pPr>
      <w:r>
        <w:rPr>
          <w:rFonts w:hint="default" w:ascii="Times New Roman" w:hAnsi="Times New Roman" w:cs="Times New Roman"/>
        </w:rPr>
        <w:t>四、政府信息公开行政复议、行政诉讼情况</w:t>
      </w: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尚未审结</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eastAsia="sans-serif" w:cs="Times New Roman"/>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尚未审结</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尚未审结</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rPr>
                <w:rFonts w:hint="default" w:ascii="Times New Roman" w:hAnsi="Times New Roman" w:cs="Times New Roman"/>
              </w:rPr>
            </w:pPr>
            <w:r>
              <w:rPr>
                <w:rFonts w:hint="default" w:ascii="Times New Roman" w:hAnsi="Times New Roman" w:eastAsia="sans-serif" w:cs="Times New Roman"/>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sans-serif" w:cs="Times New Roman"/>
                <w:sz w:val="24"/>
                <w:szCs w:val="24"/>
              </w:rPr>
            </w:pPr>
            <w:r>
              <w:rPr>
                <w:rFonts w:hint="eastAsia" w:ascii="Times New Roman" w:hAnsi="Times New Roman" w:eastAsia="宋体" w:cs="Times New Roman"/>
                <w:sz w:val="24"/>
                <w:szCs w:val="24"/>
                <w:lang w:val="en-US" w:eastAsia="zh-CN"/>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0</w:t>
            </w:r>
          </w:p>
        </w:tc>
      </w:tr>
    </w:tbl>
    <w:p>
      <w:pPr>
        <w:pStyle w:val="2"/>
        <w:keepNext w:val="0"/>
        <w:keepLines w:val="0"/>
        <w:widowControl/>
        <w:suppressLineNumbers w:val="0"/>
      </w:pPr>
      <w:r>
        <w:t> </w:t>
      </w:r>
    </w:p>
    <w:p>
      <w:pPr>
        <w:pStyle w:val="2"/>
        <w:keepNext w:val="0"/>
        <w:keepLines w:val="0"/>
        <w:widowControl/>
        <w:suppressLineNumbers w:val="0"/>
        <w:ind w:firstLine="480" w:firstLineChars="200"/>
        <w:jc w:val="left"/>
      </w:pPr>
      <w:r>
        <w:t>五 、存在的主要问题及改进情况</w:t>
      </w:r>
    </w:p>
    <w:p>
      <w:pPr>
        <w:pStyle w:val="2"/>
        <w:keepNext w:val="0"/>
        <w:keepLines w:val="0"/>
        <w:widowControl/>
        <w:suppressLineNumbers w:val="0"/>
        <w:jc w:val="left"/>
      </w:pPr>
      <w:r>
        <w:t>虽然我局2020年在政务公开工作方面取得了一定的成效，但尚存在一些不足和差距，主要表现在：公开工作的日常化、常态化有待进一步加强；公开内容还不够深入全面等问题。今后我局将按照上级部门的要求，进一步加强和深化政务信息公开工作，规范政务公开的程序，强化信息的时效性和工作规范化，及时更新信息内容、提高信息质量，不断拓展政务信息公开的宽度和广度。</w:t>
      </w:r>
    </w:p>
    <w:p>
      <w:pPr>
        <w:pStyle w:val="2"/>
        <w:keepNext w:val="0"/>
        <w:keepLines w:val="0"/>
        <w:widowControl/>
        <w:suppressLineNumbers w:val="0"/>
        <w:ind w:firstLine="480" w:firstLineChars="200"/>
        <w:jc w:val="left"/>
      </w:pPr>
      <w:r>
        <w:t>六、其他需要报告的事项</w:t>
      </w:r>
    </w:p>
    <w:p>
      <w:pPr>
        <w:pStyle w:val="2"/>
        <w:keepNext w:val="0"/>
        <w:keepLines w:val="0"/>
        <w:widowControl/>
        <w:suppressLineNumbers w:val="0"/>
        <w:ind w:firstLine="480" w:firstLineChars="200"/>
        <w:jc w:val="left"/>
      </w:pPr>
      <w:r>
        <w:t>2020年，县十八届人大四次会议和政协十届四次会议交办卫生健康部门主办的建议和提案共14件，其中县人大代表建议6件，政协委员提案8件，均已按规定程序办理完毕。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4071A"/>
    <w:rsid w:val="0C694C2A"/>
    <w:rsid w:val="20F776FE"/>
    <w:rsid w:val="22251635"/>
    <w:rsid w:val="3CC4071A"/>
    <w:rsid w:val="647747BF"/>
    <w:rsid w:val="7EE6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市人大办</Company>
  <Pages>4</Pages>
  <Words>1247</Words>
  <Characters>1288</Characters>
  <Lines>0</Lines>
  <Paragraphs>0</Paragraphs>
  <TotalTime>1</TotalTime>
  <ScaleCrop>false</ScaleCrop>
  <LinksUpToDate>false</LinksUpToDate>
  <CharactersWithSpaces>1292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2021-05-31T07:35:00Z</dcterms:created>
  <dc:creator>Administrator</dc:creator>
  <cp:lastModifiedBy>永好</cp:lastModifiedBy>
  <dcterms:modified xsi:type="dcterms:W3CDTF">2021-10-25T09:45:29Z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BC7385F085694B95B7B4B6B82036B36D</vt:lpwstr>
  </property>
</Properties>
</file>