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9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微山县住房和城乡建设局2023年政府信息公开工作年度报告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9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</w:pPr>
      <w:r>
        <w:rPr>
          <w:rFonts w:ascii="仿宋_GB2312" w:eastAsia="仿宋_GB2312" w:cs="仿宋_GB2312"/>
          <w:sz w:val="31"/>
          <w:szCs w:val="31"/>
        </w:rPr>
        <w:t>本报告由</w:t>
      </w:r>
      <w:r>
        <w:rPr>
          <w:rFonts w:hint="eastAsia" w:ascii="仿宋_GB2312" w:eastAsia="仿宋_GB2312" w:cs="仿宋_GB2312"/>
          <w:sz w:val="31"/>
          <w:szCs w:val="31"/>
        </w:rPr>
        <w:t>微山县住房和城乡建设局按照《中华人民共和国政府信息公开条例》（以下简称《条例》）和《中华人民共和国政府信息公开工作年度报告格式》（国办公开办函〔2021〕30号）要求编制。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</w:pPr>
      <w:r>
        <w:rPr>
          <w:rFonts w:hint="eastAsia" w:ascii="仿宋_GB2312" w:eastAsia="仿宋_GB2312" w:cs="仿宋_GB2312"/>
          <w:sz w:val="31"/>
          <w:szCs w:val="31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</w:pPr>
      <w:r>
        <w:rPr>
          <w:rFonts w:hint="eastAsia" w:ascii="仿宋_GB2312" w:eastAsia="仿宋_GB2312" w:cs="仿宋_GB2312"/>
          <w:sz w:val="31"/>
          <w:szCs w:val="31"/>
        </w:rPr>
        <w:t>本报告所列数据的统计期限自20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23</w:t>
      </w:r>
      <w:r>
        <w:rPr>
          <w:rFonts w:hint="eastAsia" w:ascii="仿宋_GB2312" w:eastAsia="仿宋_GB2312" w:cs="仿宋_GB2312"/>
          <w:sz w:val="31"/>
          <w:szCs w:val="31"/>
        </w:rPr>
        <w:t>年1月1日起至20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23</w:t>
      </w:r>
      <w:r>
        <w:rPr>
          <w:rFonts w:hint="eastAsia" w:ascii="仿宋_GB2312" w:eastAsia="仿宋_GB2312" w:cs="仿宋_GB2312"/>
          <w:sz w:val="31"/>
          <w:szCs w:val="31"/>
        </w:rPr>
        <w:t>年12月31日止。本报告电子版可在“中国·微山”政府门户网站查阅或下载。如对本报告有疑问，请与微山县住房和城乡建设局联系（地址：微山县城后路59号206室，联系电话：0537-8221723）。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</w:pPr>
      <w:r>
        <w:rPr>
          <w:rFonts w:ascii="黑体" w:hAnsi="宋体" w:eastAsia="黑体" w:cs="黑体"/>
          <w:sz w:val="31"/>
          <w:szCs w:val="31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</w:pPr>
      <w:r>
        <w:rPr>
          <w:rFonts w:ascii="楷体" w:hAnsi="楷体" w:eastAsia="楷体" w:cs="楷体"/>
          <w:sz w:val="31"/>
          <w:szCs w:val="31"/>
        </w:rPr>
        <w:t>（一）主动公开情况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  <w:jc w:val="left"/>
      </w:pP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2023</w:t>
      </w:r>
      <w:r>
        <w:rPr>
          <w:rFonts w:hint="eastAsia" w:ascii="仿宋_GB2312" w:eastAsia="仿宋_GB2312" w:cs="仿宋_GB2312"/>
          <w:sz w:val="31"/>
          <w:szCs w:val="31"/>
        </w:rPr>
        <w:t>年度，县住建局政府信息公开数量为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99</w:t>
      </w:r>
      <w:r>
        <w:rPr>
          <w:rFonts w:hint="eastAsia" w:ascii="仿宋_GB2312" w:eastAsia="仿宋_GB2312" w:cs="仿宋_GB2312"/>
          <w:sz w:val="31"/>
          <w:szCs w:val="31"/>
        </w:rPr>
        <w:t>条，其中工作动态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15</w:t>
      </w:r>
      <w:r>
        <w:rPr>
          <w:rFonts w:hint="eastAsia" w:ascii="仿宋_GB2312" w:eastAsia="仿宋_GB2312" w:cs="仿宋_GB2312"/>
          <w:sz w:val="31"/>
          <w:szCs w:val="31"/>
        </w:rPr>
        <w:t>条，通知公告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16</w:t>
      </w:r>
      <w:r>
        <w:rPr>
          <w:rFonts w:hint="eastAsia" w:ascii="仿宋_GB2312" w:eastAsia="仿宋_GB2312" w:cs="仿宋_GB2312"/>
          <w:sz w:val="31"/>
          <w:szCs w:val="31"/>
        </w:rPr>
        <w:t>条，部门文件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3</w:t>
      </w:r>
      <w:r>
        <w:rPr>
          <w:rFonts w:hint="eastAsia" w:ascii="仿宋_GB2312" w:eastAsia="仿宋_GB2312" w:cs="仿宋_GB2312"/>
          <w:sz w:val="31"/>
          <w:szCs w:val="31"/>
        </w:rPr>
        <w:t>条，会议信息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2</w:t>
      </w:r>
      <w:r>
        <w:rPr>
          <w:rFonts w:hint="eastAsia" w:ascii="仿宋_GB2312" w:eastAsia="仿宋_GB2312" w:cs="仿宋_GB2312"/>
          <w:sz w:val="31"/>
          <w:szCs w:val="31"/>
        </w:rPr>
        <w:t>条；行政权力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17</w:t>
      </w:r>
      <w:r>
        <w:rPr>
          <w:rFonts w:hint="eastAsia" w:ascii="仿宋_GB2312" w:eastAsia="仿宋_GB2312" w:cs="仿宋_GB2312"/>
          <w:sz w:val="31"/>
          <w:szCs w:val="31"/>
        </w:rPr>
        <w:t>条，市政建设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3</w:t>
      </w:r>
      <w:r>
        <w:rPr>
          <w:rFonts w:hint="eastAsia" w:ascii="仿宋_GB2312" w:eastAsia="仿宋_GB2312" w:cs="仿宋_GB2312"/>
          <w:sz w:val="31"/>
          <w:szCs w:val="31"/>
        </w:rPr>
        <w:t>件，保障性住房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9</w:t>
      </w:r>
      <w:r>
        <w:rPr>
          <w:rFonts w:hint="eastAsia" w:ascii="仿宋_GB2312" w:eastAsia="仿宋_GB2312" w:cs="仿宋_GB2312"/>
          <w:sz w:val="31"/>
          <w:szCs w:val="31"/>
        </w:rPr>
        <w:t>件。人大建议信息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条；政协提案信息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29</w:t>
      </w:r>
      <w:r>
        <w:rPr>
          <w:rFonts w:hint="eastAsia" w:ascii="仿宋_GB2312" w:eastAsia="仿宋_GB2312" w:cs="仿宋_GB2312"/>
          <w:sz w:val="31"/>
          <w:szCs w:val="31"/>
        </w:rPr>
        <w:t>条。</w:t>
      </w:r>
    </w:p>
    <w:p>
      <w:pPr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5394325" cy="3057525"/>
            <wp:effectExtent l="4445" t="4445" r="11430" b="508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</w:pPr>
      <w:r>
        <w:rPr>
          <w:rFonts w:hint="eastAsia" w:ascii="楷体" w:hAnsi="楷体" w:eastAsia="楷体" w:cs="楷体"/>
          <w:sz w:val="31"/>
          <w:szCs w:val="31"/>
        </w:rPr>
        <w:t>（二）依申请公开情况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</w:pPr>
      <w:r>
        <w:rPr>
          <w:rFonts w:hint="eastAsia" w:ascii="仿宋_GB2312" w:eastAsia="仿宋_GB2312" w:cs="仿宋_GB2312"/>
          <w:sz w:val="31"/>
          <w:szCs w:val="31"/>
        </w:rPr>
        <w:t>20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23</w:t>
      </w:r>
      <w:r>
        <w:rPr>
          <w:rFonts w:hint="eastAsia" w:ascii="仿宋_GB2312" w:eastAsia="仿宋_GB2312" w:cs="仿宋_GB2312"/>
          <w:sz w:val="31"/>
          <w:szCs w:val="31"/>
        </w:rPr>
        <w:t>年，共收到依申请公开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9</w:t>
      </w:r>
      <w:r>
        <w:rPr>
          <w:rFonts w:hint="eastAsia" w:ascii="仿宋_GB2312" w:eastAsia="仿宋_GB2312" w:cs="仿宋_GB2312"/>
          <w:sz w:val="31"/>
          <w:szCs w:val="31"/>
        </w:rPr>
        <w:t>条，按时办结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9</w:t>
      </w:r>
      <w:r>
        <w:rPr>
          <w:rFonts w:hint="eastAsia" w:ascii="仿宋_GB2312" w:eastAsia="仿宋_GB2312" w:cs="仿宋_GB2312"/>
          <w:sz w:val="31"/>
          <w:szCs w:val="31"/>
        </w:rPr>
        <w:t>条，办结率100%，比上年（202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2</w:t>
      </w:r>
      <w:r>
        <w:rPr>
          <w:rFonts w:hint="eastAsia" w:ascii="仿宋_GB2312" w:eastAsia="仿宋_GB2312" w:cs="仿宋_GB2312"/>
          <w:sz w:val="31"/>
          <w:szCs w:val="31"/>
        </w:rPr>
        <w:t>年度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12</w:t>
      </w:r>
      <w:r>
        <w:rPr>
          <w:rFonts w:hint="eastAsia" w:ascii="仿宋_GB2312" w:eastAsia="仿宋_GB2312" w:cs="仿宋_GB2312"/>
          <w:sz w:val="31"/>
          <w:szCs w:val="31"/>
        </w:rPr>
        <w:t>条）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减少3</w:t>
      </w:r>
      <w:r>
        <w:rPr>
          <w:rFonts w:hint="eastAsia" w:ascii="仿宋_GB2312" w:eastAsia="仿宋_GB2312" w:cs="仿宋_GB2312"/>
          <w:sz w:val="31"/>
          <w:szCs w:val="31"/>
        </w:rPr>
        <w:t>条。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</w:pPr>
      <w:r>
        <w:rPr>
          <w:rFonts w:hint="eastAsia" w:ascii="楷体" w:hAnsi="楷体" w:eastAsia="楷体" w:cs="楷体"/>
          <w:sz w:val="31"/>
          <w:szCs w:val="31"/>
        </w:rPr>
        <w:t>（三）政府信息管理情况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</w:pPr>
      <w:r>
        <w:rPr>
          <w:rFonts w:hint="eastAsia" w:ascii="仿宋_GB2312" w:eastAsia="仿宋_GB2312" w:cs="仿宋_GB2312"/>
          <w:sz w:val="31"/>
          <w:szCs w:val="31"/>
        </w:rPr>
        <w:t>根据《中华人民共和国政府信息公开条例》和自治区、市、县关于政务公开工作的有关文件要求，进一步完善政务信息常态化管理机制，坚持主动公开与严守保密纪律相结合，使政务公开工作明确化、规范化，确保信息公开工作有序开展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</w:pPr>
      <w:r>
        <w:rPr>
          <w:rFonts w:hint="eastAsia" w:ascii="楷体" w:hAnsi="楷体" w:eastAsia="楷体" w:cs="楷体"/>
          <w:sz w:val="31"/>
          <w:szCs w:val="31"/>
        </w:rPr>
        <w:t>（四）政府信息公开平台建设情况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</w:pPr>
      <w:r>
        <w:rPr>
          <w:rFonts w:hint="eastAsia" w:ascii="仿宋_GB2312" w:eastAsia="仿宋_GB2312" w:cs="仿宋_GB2312"/>
          <w:sz w:val="31"/>
          <w:szCs w:val="31"/>
        </w:rPr>
        <w:t>实现信息数据的充分共享和交换传递，各目录公开的信息更加丰富，从源头上保障信息规范、有效和及时。建立健全依申请公开信息把关审查机制，逐步建立专家提供专业意见、相关处室会商、分管领导审定、政府信息公开处沟通反馈的处理机制。组织梳理政府信息主动公开基本目录，对政府信息公开的事项、内容、依据、时限、主体、渠道、对象、方式等做进一步的明确和规范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</w:pPr>
      <w:r>
        <w:rPr>
          <w:rFonts w:hint="eastAsia" w:ascii="楷体" w:hAnsi="楷体" w:eastAsia="楷体" w:cs="楷体"/>
          <w:sz w:val="31"/>
          <w:szCs w:val="31"/>
        </w:rPr>
        <w:t>（五）监督保障情况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</w:pPr>
      <w:r>
        <w:rPr>
          <w:rFonts w:hint="eastAsia" w:ascii="仿宋_GB2312" w:eastAsia="仿宋_GB2312" w:cs="仿宋_GB2312"/>
          <w:sz w:val="31"/>
          <w:szCs w:val="31"/>
        </w:rPr>
        <w:t>开展常态化监测，并及时督促问题整改，保证各项规定切实有效地得到贯彻，及时统计录入信息、未及时公开的信息数，以量化的标准对工作的情况进行考核。制定信息公开专项业务培训计划，适时组织本单位开展业务培训，及时转发国家、省有关政务公开文件，要求信息公开工作人员加强政策理论学习和理论研究，进一步提升专业水平，形成政务公开工作的良好氛围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</w:pPr>
      <w:r>
        <w:rPr>
          <w:rFonts w:hint="eastAsia" w:ascii="黑体" w:hAnsi="宋体" w:eastAsia="黑体" w:cs="黑体"/>
          <w:sz w:val="31"/>
          <w:szCs w:val="31"/>
        </w:rPr>
        <w:t>二、主动公开政府信息情况</w:t>
      </w:r>
    </w:p>
    <w:tbl>
      <w:tblPr>
        <w:tblStyle w:val="4"/>
        <w:tblW w:w="882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5"/>
        <w:gridCol w:w="2205"/>
        <w:gridCol w:w="2205"/>
        <w:gridCol w:w="22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88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333333"/>
                <w:spacing w:val="0"/>
                <w:sz w:val="31"/>
                <w:szCs w:val="31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333333"/>
                <w:spacing w:val="0"/>
                <w:sz w:val="31"/>
                <w:szCs w:val="31"/>
              </w:rPr>
              <w:t>信息内容</w:t>
            </w:r>
          </w:p>
        </w:tc>
        <w:tc>
          <w:tcPr>
            <w:tcW w:w="22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color w:val="333333"/>
                <w:spacing w:val="0"/>
                <w:sz w:val="31"/>
                <w:szCs w:val="31"/>
              </w:rPr>
              <w:t>本年制发件数</w:t>
            </w:r>
          </w:p>
        </w:tc>
        <w:tc>
          <w:tcPr>
            <w:tcW w:w="22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</w:rPr>
              <w:t>本年废止件数</w:t>
            </w:r>
          </w:p>
        </w:tc>
        <w:tc>
          <w:tcPr>
            <w:tcW w:w="22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现行有效件数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行政规范性文件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行政许可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149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本年处理决定数量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行政处罚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62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行政强制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本年收费金额（单位：万元）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行政事业性收费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</w:pPr>
      <w:r>
        <w:rPr>
          <w:rFonts w:hint="eastAsia" w:ascii="黑体" w:hAnsi="宋体" w:eastAsia="黑体" w:cs="黑体"/>
          <w:sz w:val="31"/>
          <w:szCs w:val="31"/>
        </w:rPr>
        <w:t>三、收到和处理政府信息公开申请情况</w:t>
      </w:r>
    </w:p>
    <w:tbl>
      <w:tblPr>
        <w:tblStyle w:val="4"/>
        <w:tblW w:w="882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6"/>
        <w:gridCol w:w="1153"/>
        <w:gridCol w:w="2548"/>
        <w:gridCol w:w="817"/>
        <w:gridCol w:w="568"/>
        <w:gridCol w:w="568"/>
        <w:gridCol w:w="568"/>
        <w:gridCol w:w="568"/>
        <w:gridCol w:w="568"/>
        <w:gridCol w:w="5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469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（本列数据的勾稽关系为：第一项加第二项之和，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等于第三项加第四项之和）</w:t>
            </w:r>
          </w:p>
        </w:tc>
        <w:tc>
          <w:tcPr>
            <w:tcW w:w="412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469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法人或其他组织</w:t>
            </w:r>
          </w:p>
        </w:tc>
        <w:tc>
          <w:tcPr>
            <w:tcW w:w="4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  <w:tblCellSpacing w:w="0" w:type="dxa"/>
          <w:jc w:val="center"/>
        </w:trPr>
        <w:tc>
          <w:tcPr>
            <w:tcW w:w="469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商业企业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科研机构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社会公益组织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法律服务机构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  <w:tc>
          <w:tcPr>
            <w:tcW w:w="4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0" w:type="dxa"/>
          <w:jc w:val="center"/>
        </w:trPr>
        <w:tc>
          <w:tcPr>
            <w:tcW w:w="46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0" w:type="dxa"/>
          <w:jc w:val="center"/>
        </w:trPr>
        <w:tc>
          <w:tcPr>
            <w:tcW w:w="46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9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三、本年度办理结果</w:t>
            </w: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tblCellSpacing w:w="0" w:type="dxa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（三）不予公开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.危及“三安全一稳定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tblCellSpacing w:w="0" w:type="dxa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（四）无法提供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tblCellSpacing w:w="0" w:type="dxa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tblCellSpacing w:w="0" w:type="dxa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（五）不予处理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0" w:type="dxa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tblCellSpacing w:w="0" w:type="dxa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tblCellSpacing w:w="0" w:type="dxa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5" w:hRule="atLeast"/>
          <w:tblCellSpacing w:w="0" w:type="dxa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（六）其他处理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1.申请人无正当理由逾期不补正、行政机关不再处理其政府信息公开申请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atLeast"/>
          <w:tblCellSpacing w:w="0" w:type="dxa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2.申请人逾期未按收费通知要求缴纳费用、行政机关不再处理其政府信息公开申请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3.其他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469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</w:pPr>
      <w:r>
        <w:rPr>
          <w:rFonts w:hint="eastAsia" w:ascii="黑体" w:hAnsi="宋体" w:eastAsia="黑体" w:cs="黑体"/>
          <w:sz w:val="31"/>
          <w:szCs w:val="31"/>
        </w:rPr>
        <w:t>四、因政府信息公开工作被申请行政复议、提起行政诉讼情况</w:t>
      </w:r>
    </w:p>
    <w:tbl>
      <w:tblPr>
        <w:tblStyle w:val="4"/>
        <w:tblW w:w="8820" w:type="dxa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9"/>
        <w:gridCol w:w="599"/>
        <w:gridCol w:w="599"/>
        <w:gridCol w:w="599"/>
        <w:gridCol w:w="505"/>
        <w:gridCol w:w="555"/>
        <w:gridCol w:w="599"/>
        <w:gridCol w:w="599"/>
        <w:gridCol w:w="599"/>
        <w:gridCol w:w="584"/>
        <w:gridCol w:w="599"/>
        <w:gridCol w:w="599"/>
        <w:gridCol w:w="600"/>
        <w:gridCol w:w="600"/>
        <w:gridCol w:w="5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28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行政复议</w:t>
            </w:r>
          </w:p>
        </w:tc>
        <w:tc>
          <w:tcPr>
            <w:tcW w:w="592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审结</w:t>
            </w:r>
          </w:p>
        </w:tc>
        <w:tc>
          <w:tcPr>
            <w:tcW w:w="49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</w:t>
            </w:r>
          </w:p>
        </w:tc>
        <w:tc>
          <w:tcPr>
            <w:tcW w:w="294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未经复议直接起诉</w:t>
            </w:r>
          </w:p>
        </w:tc>
        <w:tc>
          <w:tcPr>
            <w:tcW w:w="298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审结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尚未审结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15" w:lineRule="atLeast"/>
              <w:ind w:left="0" w:right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cs="仿宋"/>
                <w:sz w:val="31"/>
                <w:szCs w:val="31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15" w:lineRule="atLeast"/>
              <w:ind w:left="0" w:right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cs="仿宋"/>
                <w:sz w:val="31"/>
                <w:szCs w:val="31"/>
                <w:lang w:val="en-US" w:eastAsia="zh-CN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15" w:lineRule="atLeast"/>
              <w:ind w:left="0" w:right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cs="仿宋"/>
                <w:sz w:val="31"/>
                <w:szCs w:val="31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1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15" w:lineRule="atLeast"/>
              <w:ind w:left="0" w:right="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cs="仿宋"/>
                <w:sz w:val="31"/>
                <w:szCs w:val="31"/>
                <w:lang w:val="en-US" w:eastAsia="zh-CN"/>
              </w:rPr>
              <w:t>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</w:pPr>
      <w:r>
        <w:rPr>
          <w:rFonts w:hint="eastAsia" w:ascii="黑体" w:hAnsi="宋体" w:eastAsia="黑体" w:cs="黑体"/>
          <w:sz w:val="31"/>
          <w:szCs w:val="31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</w:pPr>
      <w:r>
        <w:rPr>
          <w:rFonts w:hint="eastAsia" w:ascii="仿宋_GB2312" w:eastAsia="仿宋_GB2312" w:cs="仿宋_GB2312"/>
          <w:sz w:val="31"/>
          <w:szCs w:val="31"/>
        </w:rPr>
        <w:t>（一）存在的主要问题。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</w:pPr>
      <w:r>
        <w:rPr>
          <w:rFonts w:hint="eastAsia" w:ascii="仿宋_GB2312" w:eastAsia="仿宋_GB2312" w:cs="仿宋_GB2312"/>
          <w:sz w:val="31"/>
          <w:szCs w:val="31"/>
        </w:rPr>
        <w:t>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3</w:t>
      </w:r>
      <w:r>
        <w:rPr>
          <w:rFonts w:hint="eastAsia" w:ascii="仿宋_GB2312" w:eastAsia="仿宋_GB2312" w:cs="仿宋_GB2312"/>
          <w:sz w:val="31"/>
          <w:szCs w:val="31"/>
        </w:rPr>
        <w:t>年，政府信息公开工作虽然取得了一定成效，但仍存在一些问题：住建部门涉及民生事项较多，政策解读与回应交流需要更加便民；各科室对政府信息公开工作的认识不足，重视还不够，报送信息的自觉性和主动性不强，政府信息公开的内容比较单一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630"/>
      </w:pPr>
      <w:r>
        <w:rPr>
          <w:rFonts w:hint="eastAsia" w:ascii="仿宋_GB2312" w:eastAsia="仿宋_GB2312" w:cs="仿宋_GB2312"/>
          <w:sz w:val="31"/>
          <w:szCs w:val="31"/>
        </w:rPr>
        <w:t>（二）改进措施。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</w:pPr>
      <w:r>
        <w:rPr>
          <w:rFonts w:hint="eastAsia" w:ascii="仿宋_GB2312" w:eastAsia="仿宋_GB2312" w:cs="仿宋_GB2312"/>
          <w:sz w:val="31"/>
          <w:szCs w:val="31"/>
        </w:rPr>
        <w:t>针对我局政府信息公开工作中存在的问题和困难，在今后的工作中，我局将继续根据县政府的统一安排部署，认真查找并纠正问题，努力克服和解决困难，有序地推进我局政府信息公开工作的开展。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</w:pPr>
      <w:r>
        <w:rPr>
          <w:rFonts w:hint="eastAsia" w:ascii="仿宋_GB2312" w:eastAsia="仿宋_GB2312" w:cs="仿宋_GB2312"/>
          <w:sz w:val="31"/>
          <w:szCs w:val="31"/>
        </w:rPr>
        <w:t>一是进一步加强组织保障。由局办公室牵头，加强与各科室间的配合，深入了解各科室近期工作开展情况，做到应公开尽公开。针对性地强化依申请公开工作培训，提升基层工作人员受理信息公开申请工作水平。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</w:pPr>
      <w:r>
        <w:rPr>
          <w:rFonts w:hint="eastAsia" w:ascii="仿宋_GB2312" w:eastAsia="仿宋_GB2312" w:cs="仿宋_GB2312"/>
          <w:sz w:val="31"/>
          <w:szCs w:val="31"/>
        </w:rPr>
        <w:t>二是继续完善信息公开制度建设。不断创新工作机制，优化工作思路，狠抓措施落实，加大公开力度。强化领导小组各成员的职责，及时对各类信息进行更新和清理，确保应公开的信息及时主动公开，以健全的监督机制来推动政府信息公开工作再上新台阶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</w:pPr>
      <w:r>
        <w:rPr>
          <w:rFonts w:hint="eastAsia" w:ascii="仿宋_GB2312" w:eastAsia="仿宋_GB2312" w:cs="仿宋_GB2312"/>
          <w:sz w:val="31"/>
          <w:szCs w:val="31"/>
        </w:rPr>
        <w:t>三是进一步强化监督检查。把政务公开工作与业务工作开展相结合，一并纳入效能督办管理范围，结合我局实际，修订完善内部制度建设，加强信息公开理论和业务指导，以健全的监督机制来推进政府信息公开工作取得新成效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</w:pPr>
      <w:r>
        <w:rPr>
          <w:rFonts w:hint="eastAsia" w:ascii="黑体" w:hAnsi="宋体" w:eastAsia="黑体" w:cs="黑体"/>
          <w:sz w:val="31"/>
          <w:szCs w:val="31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</w:pPr>
      <w:r>
        <w:rPr>
          <w:rFonts w:hint="eastAsia" w:ascii="仿宋_GB2312" w:eastAsia="仿宋_GB2312" w:cs="仿宋_GB2312"/>
          <w:sz w:val="31"/>
          <w:szCs w:val="31"/>
        </w:rPr>
        <w:t>（一）依据《政府信息公开信息处理费管理办法》收取信息处理费的情况：无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</w:pPr>
      <w:r>
        <w:rPr>
          <w:rFonts w:hint="eastAsia" w:ascii="仿宋_GB2312" w:eastAsia="仿宋_GB2312" w:cs="仿宋_GB2312"/>
          <w:sz w:val="31"/>
          <w:szCs w:val="31"/>
        </w:rPr>
        <w:t>（二）落实上级年度政务公开工作要点情况：自足自身职能，结合工作实际，有效落实政务公开工作任务。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</w:pPr>
      <w:r>
        <w:rPr>
          <w:rFonts w:hint="eastAsia" w:ascii="仿宋_GB2312" w:eastAsia="仿宋_GB2312" w:cs="仿宋_GB2312"/>
          <w:sz w:val="31"/>
          <w:szCs w:val="31"/>
        </w:rPr>
        <w:t>（三）人大代表建议和政协提案办理结果公开情况：202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3</w:t>
      </w:r>
      <w:r>
        <w:rPr>
          <w:rFonts w:hint="eastAsia" w:ascii="仿宋_GB2312" w:eastAsia="仿宋_GB2312" w:cs="仿宋_GB2312"/>
          <w:sz w:val="31"/>
          <w:szCs w:val="31"/>
        </w:rPr>
        <w:t>年，我单位共收到人大建议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条，政协提案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29</w:t>
      </w:r>
      <w:r>
        <w:rPr>
          <w:rFonts w:hint="eastAsia" w:ascii="仿宋_GB2312" w:eastAsia="仿宋_GB2312" w:cs="仿宋_GB2312"/>
          <w:sz w:val="31"/>
          <w:szCs w:val="31"/>
        </w:rPr>
        <w:t>条，共计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34</w:t>
      </w:r>
      <w:r>
        <w:rPr>
          <w:rFonts w:hint="eastAsia" w:ascii="仿宋_GB2312" w:eastAsia="仿宋_GB2312" w:cs="仿宋_GB2312"/>
          <w:sz w:val="31"/>
          <w:szCs w:val="31"/>
        </w:rPr>
        <w:t>项。内容涉及城区供暖、老旧小区改造、物业服务水平和服务质量、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停车场充电桩建设、棚户区改造、绿色建材</w:t>
      </w:r>
      <w:r>
        <w:rPr>
          <w:rFonts w:hint="eastAsia" w:ascii="仿宋_GB2312" w:eastAsia="仿宋_GB2312" w:cs="仿宋_GB2312"/>
          <w:sz w:val="31"/>
          <w:szCs w:val="31"/>
        </w:rPr>
        <w:t>等。所有建议提案均在规定期限内办复完毕，办复率100%，满意和基本满意率100%。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</w:pPr>
      <w:r>
        <w:rPr>
          <w:rFonts w:hint="eastAsia" w:ascii="仿宋_GB2312" w:eastAsia="仿宋_GB2312" w:cs="仿宋_GB2312"/>
          <w:sz w:val="31"/>
          <w:szCs w:val="31"/>
        </w:rPr>
        <w:t>（四）年度政务公开工作创新情况：无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</w:pPr>
      <w:r>
        <w:rPr>
          <w:rFonts w:hint="eastAsia" w:ascii="仿宋_GB2312" w:eastAsia="仿宋_GB2312" w:cs="仿宋_GB2312"/>
          <w:sz w:val="31"/>
          <w:szCs w:val="31"/>
        </w:rPr>
        <w:t>（五）政府信息公开工作年度报告数据统计需要说明的事项：无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（六）需要报告的其他事项：无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30"/>
        <w:rPr>
          <w:rFonts w:hint="eastAsia" w:asci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sz w:val="31"/>
          <w:szCs w:val="31"/>
        </w:rPr>
        <w:t>（七）其他有关文件专门要求通过政府信息公开工作年度报告予以报告的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事项</w:t>
      </w:r>
      <w:r>
        <w:rPr>
          <w:rFonts w:hint="eastAsia" w:ascii="仿宋_GB2312" w:eastAsia="仿宋_GB2312" w:cs="仿宋_GB2312"/>
          <w:sz w:val="31"/>
          <w:szCs w:val="31"/>
        </w:rPr>
        <w:t>：</w:t>
      </w:r>
      <w:bookmarkStart w:id="0" w:name="_GoBack"/>
      <w:bookmarkEnd w:id="0"/>
      <w:r>
        <w:rPr>
          <w:rFonts w:hint="eastAsia" w:ascii="仿宋_GB2312" w:eastAsia="仿宋_GB2312" w:cs="仿宋_GB2312"/>
          <w:sz w:val="31"/>
          <w:szCs w:val="31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NmZlMTM3NzM0OGEzNmEyZmY5ZmZjYjdmOWIzYjQifQ=="/>
  </w:docVars>
  <w:rsids>
    <w:rsidRoot w:val="00000000"/>
    <w:rsid w:val="203E32AB"/>
    <w:rsid w:val="472643FB"/>
    <w:rsid w:val="5835032D"/>
    <w:rsid w:val="58BE0D96"/>
    <w:rsid w:val="6644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样式1"/>
    <w:basedOn w:val="2"/>
    <w:next w:val="2"/>
    <w:autoRedefine/>
    <w:qFormat/>
    <w:uiPriority w:val="0"/>
    <w:pPr>
      <w:keepNext/>
      <w:keepLines/>
      <w:spacing w:before="260" w:beforeLines="0" w:after="260" w:line="413" w:lineRule="auto"/>
      <w:outlineLvl w:val="2"/>
    </w:pPr>
    <w:rPr>
      <w:rFonts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数量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6"/>
            <c:bubble3D val="0"/>
            <c:spPr>
              <a:gradFill>
                <a:gsLst>
                  <a:gs pos="0">
                    <a:srgbClr val="FBFB11"/>
                  </a:gs>
                  <a:gs pos="100000">
                    <a:srgbClr val="838309"/>
                  </a:gs>
                </a:gsLst>
                <a:lin ang="5400000" scaled="0"/>
              </a:gradFill>
              <a:ln>
                <a:solidFill>
                  <a:schemeClr val="bg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057729722230944"/>
                  <c:y val="0.134951513734276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15%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16%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0999767120036193"/>
                  <c:y val="-0.12120074953014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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2%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17%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0186625205208821"/>
                  <c:y val="-0.0590372270986129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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0407605324218501"/>
                  <c:y val="-0.100567549779829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3529838125151"/>
                      <c:h val="0.0871228219294518"/>
                    </c:manualLayout>
                  </c15:layout>
                </c:ext>
              </c:extLst>
            </c:dLbl>
            <c:dLbl>
              <c:idx val="7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5%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30%</a:t>
                    </a:r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工作动态</c:v>
                </c:pt>
                <c:pt idx="1">
                  <c:v>通知公告</c:v>
                </c:pt>
                <c:pt idx="2">
                  <c:v>部门文件</c:v>
                </c:pt>
                <c:pt idx="3">
                  <c:v>会议信息</c:v>
                </c:pt>
                <c:pt idx="4">
                  <c:v>行政权力</c:v>
                </c:pt>
                <c:pt idx="5">
                  <c:v>市政建设</c:v>
                </c:pt>
                <c:pt idx="6">
                  <c:v>保障性住房</c:v>
                </c:pt>
                <c:pt idx="7">
                  <c:v>人大建议信息</c:v>
                </c:pt>
                <c:pt idx="8">
                  <c:v>政协提案信息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15</c:v>
                </c:pt>
                <c:pt idx="1">
                  <c:v>16</c:v>
                </c:pt>
                <c:pt idx="2">
                  <c:v>3</c:v>
                </c:pt>
                <c:pt idx="3">
                  <c:v>2</c:v>
                </c:pt>
                <c:pt idx="4">
                  <c:v>17</c:v>
                </c:pt>
                <c:pt idx="5">
                  <c:v>3</c:v>
                </c:pt>
                <c:pt idx="6">
                  <c:v>9</c:v>
                </c:pt>
                <c:pt idx="7">
                  <c:v>5</c:v>
                </c:pt>
                <c:pt idx="8">
                  <c:v>29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2023-01-29T03:57:00Z</dcterms:created>
  <dc:creator>Administrator</dc:creator>
  <cp:lastModifiedBy>WPS_1665048331</cp:lastModifiedBy>
  <dcterms:modified xsi:type="dcterms:W3CDTF">2024-01-24T07:57:53Z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A8CDBE0412F842DDBEAF8BCD0C5743D3</vt:lpwstr>
  </property>
</Properties>
</file>