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7"/>
        <w:ind w:left="0"/>
        <w:jc w:val="both"/>
        <w:rPr>
          <w:rFonts w:ascii="黑体"/>
          <w:sz w:val="51"/>
        </w:rPr>
      </w:pPr>
    </w:p>
    <w:p>
      <w:pPr>
        <w:pStyle w:val="2"/>
        <w:spacing w:line="175" w:lineRule="auto"/>
        <w:ind w:left="2707" w:right="1320" w:hanging="1608"/>
        <w:jc w:val="both"/>
      </w:pPr>
      <w:r>
        <w:rPr>
          <w:rFonts w:hint="eastAsia"/>
          <w:lang w:eastAsia="zh-CN"/>
        </w:rPr>
        <w:t>微山县金融服务中心</w:t>
      </w:r>
      <w:r>
        <w:rPr>
          <w:rFonts w:hint="eastAsia"/>
        </w:rPr>
        <w:t>2022</w:t>
      </w:r>
      <w:r>
        <w:rPr>
          <w:w w:val="95"/>
        </w:rPr>
        <w:t>年政府信息公开</w:t>
      </w:r>
      <w:r>
        <w:t>工作年度报告</w:t>
      </w:r>
    </w:p>
    <w:p>
      <w:pPr>
        <w:pStyle w:val="3"/>
        <w:spacing w:before="9"/>
        <w:ind w:left="0"/>
        <w:jc w:val="both"/>
        <w:rPr>
          <w:rFonts w:ascii="微软雅黑"/>
          <w:sz w:val="37"/>
        </w:rPr>
      </w:pPr>
    </w:p>
    <w:p>
      <w:pPr>
        <w:pStyle w:val="3"/>
        <w:spacing w:line="345" w:lineRule="auto"/>
        <w:ind w:right="607" w:firstLine="62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spacing w:val="-22"/>
        </w:rPr>
        <w:t>本报告由</w:t>
      </w:r>
      <w:r>
        <w:rPr>
          <w:rFonts w:hint="eastAsia" w:ascii="方正仿宋简体" w:hAnsi="方正仿宋简体" w:eastAsia="方正仿宋简体" w:cs="方正仿宋简体"/>
          <w:spacing w:val="-22"/>
          <w:lang w:eastAsia="zh-CN"/>
        </w:rPr>
        <w:t>微山县金融服务中心</w:t>
      </w:r>
      <w:r>
        <w:rPr>
          <w:rFonts w:hint="eastAsia" w:ascii="方正仿宋简体" w:hAnsi="方正仿宋简体" w:eastAsia="方正仿宋简体" w:cs="方正仿宋简体"/>
        </w:rPr>
        <w:t>按照《中华人民共和国政府信息</w:t>
      </w:r>
      <w:r>
        <w:rPr>
          <w:rFonts w:hint="eastAsia" w:ascii="方正仿宋简体" w:hAnsi="方正仿宋简体" w:eastAsia="方正仿宋简体" w:cs="方正仿宋简体"/>
          <w:spacing w:val="-10"/>
        </w:rPr>
        <w:t>公开条例》</w:t>
      </w:r>
      <w:r>
        <w:rPr>
          <w:rFonts w:hint="eastAsia" w:ascii="方正仿宋简体" w:hAnsi="方正仿宋简体" w:eastAsia="方正仿宋简体" w:cs="方正仿宋简体"/>
          <w:spacing w:val="-5"/>
        </w:rPr>
        <w:t>（</w:t>
      </w:r>
      <w:r>
        <w:rPr>
          <w:rFonts w:hint="eastAsia" w:ascii="方正仿宋简体" w:hAnsi="方正仿宋简体" w:eastAsia="方正仿宋简体" w:cs="方正仿宋简体"/>
          <w:spacing w:val="-11"/>
        </w:rPr>
        <w:t>以下简称《条例》</w:t>
      </w:r>
      <w:r>
        <w:rPr>
          <w:rFonts w:hint="eastAsia" w:ascii="方正仿宋简体" w:hAnsi="方正仿宋简体" w:eastAsia="方正仿宋简体" w:cs="方正仿宋简体"/>
          <w:spacing w:val="-10"/>
        </w:rPr>
        <w:t>）</w:t>
      </w:r>
      <w:r>
        <w:rPr>
          <w:rFonts w:hint="eastAsia" w:ascii="方正仿宋简体" w:hAnsi="方正仿宋简体" w:eastAsia="方正仿宋简体" w:cs="方正仿宋简体"/>
          <w:spacing w:val="-9"/>
        </w:rPr>
        <w:t>和《中华人民共和国政府信息</w:t>
      </w:r>
      <w:r>
        <w:rPr>
          <w:rFonts w:hint="eastAsia" w:ascii="方正仿宋简体" w:hAnsi="方正仿宋简体" w:eastAsia="方正仿宋简体" w:cs="方正仿宋简体"/>
          <w:spacing w:val="-29"/>
        </w:rPr>
        <w:t>公开工作年度报告格式》（</w:t>
      </w:r>
      <w:r>
        <w:rPr>
          <w:rFonts w:hint="eastAsia" w:ascii="方正仿宋简体" w:hAnsi="方正仿宋简体" w:eastAsia="方正仿宋简体" w:cs="方正仿宋简体"/>
          <w:spacing w:val="-30"/>
        </w:rPr>
        <w:t>国办公开办函〔</w:t>
      </w:r>
      <w:r>
        <w:rPr>
          <w:rFonts w:hint="eastAsia" w:ascii="方正仿宋简体" w:hAnsi="方正仿宋简体" w:eastAsia="方正仿宋简体" w:cs="方正仿宋简体"/>
          <w:spacing w:val="-12"/>
        </w:rPr>
        <w:t>2021</w:t>
      </w:r>
      <w:r>
        <w:rPr>
          <w:rFonts w:hint="eastAsia" w:ascii="方正仿宋简体" w:hAnsi="方正仿宋简体" w:eastAsia="方正仿宋简体" w:cs="方正仿宋简体"/>
          <w:spacing w:val="-91"/>
        </w:rPr>
        <w:t xml:space="preserve"> 〕</w:t>
      </w:r>
      <w:r>
        <w:rPr>
          <w:rFonts w:hint="eastAsia" w:ascii="方正仿宋简体" w:hAnsi="方正仿宋简体" w:eastAsia="方正仿宋简体" w:cs="方正仿宋简体"/>
          <w:spacing w:val="-5"/>
        </w:rPr>
        <w:t>30</w:t>
      </w:r>
      <w:r>
        <w:rPr>
          <w:rFonts w:hint="eastAsia" w:ascii="方正仿宋简体" w:hAnsi="方正仿宋简体" w:eastAsia="方正仿宋简体" w:cs="方正仿宋简体"/>
          <w:spacing w:val="-86"/>
        </w:rPr>
        <w:t xml:space="preserve"> 号</w:t>
      </w:r>
      <w:r>
        <w:rPr>
          <w:rFonts w:hint="eastAsia" w:ascii="方正仿宋简体" w:hAnsi="方正仿宋简体" w:eastAsia="方正仿宋简体" w:cs="方正仿宋简体"/>
          <w:spacing w:val="-27"/>
        </w:rPr>
        <w:t>）</w:t>
      </w:r>
      <w:r>
        <w:rPr>
          <w:rFonts w:hint="eastAsia" w:ascii="方正仿宋简体" w:hAnsi="方正仿宋简体" w:eastAsia="方正仿宋简体" w:cs="方正仿宋简体"/>
          <w:spacing w:val="-24"/>
        </w:rPr>
        <w:t>要求编制。</w:t>
      </w:r>
    </w:p>
    <w:p>
      <w:pPr>
        <w:pStyle w:val="3"/>
        <w:spacing w:line="345" w:lineRule="auto"/>
        <w:ind w:right="738" w:firstLine="62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spacing w:val="-11"/>
          <w:w w:val="95"/>
        </w:rPr>
        <w:t>本报告内容包括总体情况、主动公开政府信息情况、收到和处理政府信息公开申请情况、政府信息公开行政复议和行政诉讼</w:t>
      </w:r>
      <w:r>
        <w:rPr>
          <w:rFonts w:hint="eastAsia" w:ascii="方正仿宋简体" w:hAnsi="方正仿宋简体" w:eastAsia="方正仿宋简体" w:cs="方正仿宋简体"/>
          <w:spacing w:val="-12"/>
          <w:w w:val="95"/>
        </w:rPr>
        <w:t>情况、存在的主要问题及改进情况、其他需要报告的事项等六部</w:t>
      </w:r>
      <w:r>
        <w:rPr>
          <w:rFonts w:hint="eastAsia" w:ascii="方正仿宋简体" w:hAnsi="方正仿宋简体" w:eastAsia="方正仿宋简体" w:cs="方正仿宋简体"/>
          <w:spacing w:val="-6"/>
        </w:rPr>
        <w:t>分内容。</w:t>
      </w:r>
    </w:p>
    <w:p>
      <w:pPr>
        <w:pStyle w:val="3"/>
        <w:spacing w:line="345" w:lineRule="auto"/>
        <w:ind w:right="735" w:firstLine="62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spacing w:val="-16"/>
        </w:rPr>
        <w:t xml:space="preserve">本报告所列数据的统计期限自 </w:t>
      </w:r>
      <w:r>
        <w:rPr>
          <w:rFonts w:hint="eastAsia" w:ascii="方正仿宋简体" w:hAnsi="方正仿宋简体" w:eastAsia="方正仿宋简体" w:cs="方正仿宋简体"/>
          <w:spacing w:val="-5"/>
        </w:rPr>
        <w:t>2022</w:t>
      </w:r>
      <w:r>
        <w:rPr>
          <w:rFonts w:hint="eastAsia" w:ascii="方正仿宋简体" w:hAnsi="方正仿宋简体" w:eastAsia="方正仿宋简体" w:cs="方正仿宋简体"/>
          <w:spacing w:val="-72"/>
        </w:rPr>
        <w:t xml:space="preserve"> 年 </w:t>
      </w:r>
      <w:r>
        <w:rPr>
          <w:rFonts w:hint="eastAsia" w:ascii="方正仿宋简体" w:hAnsi="方正仿宋简体" w:eastAsia="方正仿宋简体" w:cs="方正仿宋简体"/>
        </w:rPr>
        <w:t>1</w:t>
      </w:r>
      <w:r>
        <w:rPr>
          <w:rFonts w:hint="eastAsia" w:ascii="方正仿宋简体" w:hAnsi="方正仿宋简体" w:eastAsia="方正仿宋简体" w:cs="方正仿宋简体"/>
          <w:spacing w:val="-57"/>
        </w:rPr>
        <w:t xml:space="preserve"> 月 </w:t>
      </w:r>
      <w:r>
        <w:rPr>
          <w:rFonts w:hint="eastAsia" w:ascii="方正仿宋简体" w:hAnsi="方正仿宋简体" w:eastAsia="方正仿宋简体" w:cs="方正仿宋简体"/>
        </w:rPr>
        <w:t>1</w:t>
      </w:r>
      <w:r>
        <w:rPr>
          <w:rFonts w:hint="eastAsia" w:ascii="方正仿宋简体" w:hAnsi="方正仿宋简体" w:eastAsia="方正仿宋简体" w:cs="方正仿宋简体"/>
          <w:spacing w:val="-38"/>
        </w:rPr>
        <w:t xml:space="preserve"> 日起至 </w:t>
      </w:r>
      <w:r>
        <w:rPr>
          <w:rFonts w:hint="eastAsia" w:ascii="方正仿宋简体" w:hAnsi="方正仿宋简体" w:eastAsia="方正仿宋简体" w:cs="方正仿宋简体"/>
          <w:spacing w:val="-5"/>
        </w:rPr>
        <w:t>2022</w:t>
      </w:r>
      <w:r>
        <w:rPr>
          <w:rFonts w:hint="eastAsia" w:ascii="方正仿宋简体" w:hAnsi="方正仿宋简体" w:eastAsia="方正仿宋简体" w:cs="方正仿宋简体"/>
          <w:spacing w:val="-55"/>
        </w:rPr>
        <w:t xml:space="preserve"> 年1</w:t>
      </w:r>
      <w:r>
        <w:rPr>
          <w:rFonts w:hint="eastAsia" w:ascii="方正仿宋简体" w:hAnsi="方正仿宋简体" w:eastAsia="方正仿宋简体" w:cs="方正仿宋简体"/>
          <w:spacing w:val="-124"/>
        </w:rPr>
        <w:t xml:space="preserve"> </w:t>
      </w:r>
      <w:r>
        <w:rPr>
          <w:rFonts w:hint="eastAsia" w:ascii="方正仿宋简体" w:hAnsi="方正仿宋简体" w:eastAsia="方正仿宋简体" w:cs="方正仿宋简体"/>
        </w:rPr>
        <w:t>2</w:t>
      </w:r>
      <w:r>
        <w:rPr>
          <w:rFonts w:hint="eastAsia" w:ascii="方正仿宋简体" w:hAnsi="方正仿宋简体" w:eastAsia="方正仿宋简体" w:cs="方正仿宋简体"/>
          <w:spacing w:val="-70"/>
        </w:rPr>
        <w:t xml:space="preserve"> 月 </w:t>
      </w:r>
      <w:r>
        <w:rPr>
          <w:rFonts w:hint="eastAsia" w:ascii="方正仿宋简体" w:hAnsi="方正仿宋简体" w:eastAsia="方正仿宋简体" w:cs="方正仿宋简体"/>
        </w:rPr>
        <w:t>31</w:t>
      </w:r>
      <w:r>
        <w:rPr>
          <w:rFonts w:hint="eastAsia" w:ascii="方正仿宋简体" w:hAnsi="方正仿宋简体" w:eastAsia="方正仿宋简体" w:cs="方正仿宋简体"/>
          <w:spacing w:val="-16"/>
        </w:rPr>
        <w:t xml:space="preserve"> 日止。本报告电子版可在“中国</w:t>
      </w:r>
      <w:r>
        <w:rPr>
          <w:rFonts w:hint="eastAsia" w:ascii="方正仿宋简体" w:hAnsi="方正仿宋简体" w:eastAsia="方正仿宋简体" w:cs="方正仿宋简体"/>
          <w:spacing w:val="-19"/>
        </w:rPr>
        <w:t>·</w:t>
      </w:r>
      <w:r>
        <w:rPr>
          <w:rFonts w:hint="eastAsia" w:ascii="方正仿宋简体" w:hAnsi="方正仿宋简体" w:eastAsia="方正仿宋简体" w:cs="方正仿宋简体"/>
          <w:spacing w:val="-9"/>
        </w:rPr>
        <w:t>济宁”政府门户网站</w:t>
      </w:r>
    </w:p>
    <w:p>
      <w:pPr>
        <w:pStyle w:val="3"/>
        <w:spacing w:line="345" w:lineRule="auto"/>
        <w:ind w:right="739"/>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w w:val="95"/>
        </w:rPr>
        <w:t>（</w:t>
      </w:r>
      <w:r>
        <w:rPr>
          <w:rFonts w:hint="eastAsia" w:ascii="方正仿宋简体" w:hAnsi="方正仿宋简体" w:eastAsia="方正仿宋简体" w:cs="方正仿宋简体"/>
          <w:b/>
          <w:color w:val="000000" w:themeColor="text1"/>
          <w:sz w:val="32"/>
          <w:szCs w:val="32"/>
          <w14:textFill>
            <w14:solidFill>
              <w14:schemeClr w14:val="tx1"/>
            </w14:solidFill>
          </w14:textFill>
        </w:rPr>
        <w:t>http://www.weishan.gov.cn</w:t>
      </w:r>
      <w:r>
        <w:rPr>
          <w:rFonts w:hint="eastAsia" w:ascii="方正仿宋简体" w:hAnsi="方正仿宋简体" w:eastAsia="方正仿宋简体" w:cs="方正仿宋简体"/>
          <w:w w:val="95"/>
        </w:rPr>
        <w:t>）</w:t>
      </w:r>
      <w:r>
        <w:rPr>
          <w:rFonts w:hint="eastAsia" w:ascii="方正仿宋简体" w:hAnsi="方正仿宋简体" w:eastAsia="方正仿宋简体" w:cs="方正仿宋简体"/>
          <w:spacing w:val="1"/>
          <w:w w:val="95"/>
        </w:rPr>
        <w:t>查阅或下载。如对本报告有疑问，请与</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微山县金融服务中心</w:t>
      </w:r>
      <w:r>
        <w:rPr>
          <w:rFonts w:hint="eastAsia" w:ascii="方正仿宋简体" w:hAnsi="方正仿宋简体" w:eastAsia="方正仿宋简体" w:cs="方正仿宋简体"/>
          <w:b/>
          <w:color w:val="000000" w:themeColor="text1"/>
          <w:sz w:val="32"/>
          <w:szCs w:val="32"/>
          <w14:textFill>
            <w14:solidFill>
              <w14:schemeClr w14:val="tx1"/>
            </w14:solidFill>
          </w14:textFill>
        </w:rPr>
        <w:t>联系</w:t>
      </w:r>
      <w:r>
        <w:rPr>
          <w:rFonts w:hint="eastAsia" w:ascii="方正仿宋简体" w:hAnsi="方正仿宋简体" w:eastAsia="方正仿宋简体" w:cs="方正仿宋简体"/>
          <w:spacing w:val="-6"/>
        </w:rPr>
        <w:t>联系</w:t>
      </w:r>
      <w:r>
        <w:rPr>
          <w:rFonts w:hint="eastAsia" w:ascii="方正仿宋简体" w:hAnsi="方正仿宋简体" w:eastAsia="方正仿宋简体" w:cs="方正仿宋简体"/>
          <w:spacing w:val="-5"/>
        </w:rPr>
        <w:t>（</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微山县微山湖大道东</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济宁银行4楼</w:t>
      </w:r>
      <w:r>
        <w:rPr>
          <w:rFonts w:hint="eastAsia" w:ascii="方正仿宋简体" w:hAnsi="方正仿宋简体" w:eastAsia="方正仿宋简体" w:cs="方正仿宋简体"/>
          <w:b/>
          <w:color w:val="000000" w:themeColor="text1"/>
          <w:sz w:val="32"/>
          <w:szCs w:val="32"/>
          <w14:textFill>
            <w14:solidFill>
              <w14:schemeClr w14:val="tx1"/>
            </w14:solidFill>
          </w14:textFill>
        </w:rPr>
        <w:t>，联系电话：0537-</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3183566</w:t>
      </w:r>
      <w:r>
        <w:rPr>
          <w:rFonts w:hint="eastAsia" w:ascii="方正仿宋简体" w:hAnsi="方正仿宋简体" w:eastAsia="方正仿宋简体" w:cs="方正仿宋简体"/>
          <w:spacing w:val="-14"/>
        </w:rPr>
        <w:t>）</w:t>
      </w:r>
      <w:r>
        <w:rPr>
          <w:rFonts w:hint="eastAsia" w:ascii="方正仿宋简体" w:hAnsi="方正仿宋简体" w:eastAsia="方正仿宋简体" w:cs="方正仿宋简体"/>
        </w:rPr>
        <w:t>。</w:t>
      </w:r>
    </w:p>
    <w:p>
      <w:pPr>
        <w:pStyle w:val="3"/>
        <w:ind w:left="1130"/>
        <w:jc w:val="both"/>
        <w:rPr>
          <w:rFonts w:hint="eastAsia" w:ascii="黑体" w:eastAsia="黑体"/>
        </w:rPr>
      </w:pPr>
      <w:r>
        <w:rPr>
          <w:rFonts w:hint="eastAsia" w:ascii="黑体" w:eastAsia="黑体"/>
        </w:rPr>
        <w:t>一、总体情况</w:t>
      </w:r>
    </w:p>
    <w:p>
      <w:pPr>
        <w:pStyle w:val="3"/>
        <w:spacing w:before="175" w:line="345" w:lineRule="auto"/>
        <w:ind w:right="737" w:firstLine="621"/>
        <w:jc w:val="both"/>
        <w:rPr>
          <w:rFonts w:hint="eastAsia"/>
          <w:spacing w:val="4"/>
          <w:w w:val="95"/>
          <w:lang w:val="en-US" w:eastAsia="zh-CN"/>
        </w:rPr>
      </w:pPr>
      <w:r>
        <w:rPr>
          <w:rFonts w:hint="eastAsia"/>
          <w:spacing w:val="4"/>
          <w:w w:val="95"/>
          <w:lang w:val="en-US" w:eastAsia="zh-CN"/>
        </w:rPr>
        <w:t>2022年度微山县金融服务中心政府信息公开内容更加全面，包括主动公开、依申请公开、政府信息管理、平台建设、监督保障等方面。其中全年累计主动公开政府信息7条，其中主动公开规范性文件信息7条，制法规范性文件总数0条；主要通过政府网站公开政府信息数7条，政策解读稿件发布0条，截至目前，全年累计受理依申请公开政府信息0件。</w:t>
      </w:r>
    </w:p>
    <w:p>
      <w:pPr>
        <w:pStyle w:val="3"/>
        <w:spacing w:line="408" w:lineRule="exact"/>
        <w:ind w:left="1130"/>
        <w:jc w:val="both"/>
        <w:rPr>
          <w:rFonts w:hint="eastAsia" w:ascii="楷体" w:eastAsia="楷体"/>
        </w:rPr>
      </w:pPr>
      <w:r>
        <w:rPr>
          <w:rFonts w:hint="eastAsia" w:ascii="楷体" w:eastAsia="楷体"/>
          <w:lang w:val="en-US" w:eastAsia="zh-CN"/>
        </w:rPr>
        <w:t>（一）</w:t>
      </w:r>
      <w:r>
        <w:rPr>
          <w:rFonts w:hint="eastAsia" w:ascii="楷体" w:eastAsia="楷体"/>
        </w:rPr>
        <w:t>主动公开情况</w:t>
      </w:r>
    </w:p>
    <w:p>
      <w:pPr>
        <w:pStyle w:val="3"/>
        <w:spacing w:before="180" w:line="345" w:lineRule="auto"/>
        <w:ind w:right="737" w:firstLine="621"/>
        <w:jc w:val="both"/>
        <w:rPr>
          <w:rFonts w:hint="eastAsia"/>
          <w:spacing w:val="-10"/>
          <w:w w:val="95"/>
        </w:rPr>
      </w:pPr>
      <w:r>
        <w:rPr>
          <w:rFonts w:hint="eastAsia"/>
          <w:spacing w:val="-10"/>
          <w:w w:val="95"/>
        </w:rPr>
        <w:t>微山县金融服务中心全年累计主动公开政府信息</w:t>
      </w:r>
      <w:r>
        <w:rPr>
          <w:rFonts w:hint="eastAsia"/>
          <w:spacing w:val="-10"/>
          <w:w w:val="95"/>
          <w:lang w:val="en-US" w:eastAsia="zh-CN"/>
        </w:rPr>
        <w:t>7</w:t>
      </w:r>
      <w:r>
        <w:rPr>
          <w:rFonts w:hint="eastAsia"/>
          <w:spacing w:val="-10"/>
          <w:w w:val="95"/>
        </w:rPr>
        <w:t>条。其中包括机构职能、会议公开、执行和结果公开、基层政务公开标准化规范化建设等相关类别。以下是部分政府信息公开</w:t>
      </w:r>
      <w:bookmarkStart w:id="0" w:name="_GoBack"/>
      <w:bookmarkEnd w:id="0"/>
      <w:r>
        <w:rPr>
          <w:rFonts w:hint="eastAsia"/>
          <w:spacing w:val="-10"/>
          <w:w w:val="95"/>
        </w:rPr>
        <w:t>截图：</w:t>
      </w:r>
    </w:p>
    <w:p>
      <w:pPr>
        <w:pStyle w:val="3"/>
        <w:spacing w:before="180" w:line="345" w:lineRule="auto"/>
        <w:ind w:left="0" w:leftChars="0" w:right="737" w:firstLine="0" w:firstLineChars="0"/>
        <w:jc w:val="center"/>
        <w:rPr>
          <w:rFonts w:hint="eastAsia" w:eastAsia="仿宋"/>
          <w:spacing w:val="-10"/>
          <w:w w:val="95"/>
          <w:lang w:eastAsia="zh-CN"/>
        </w:rPr>
      </w:pPr>
      <w:r>
        <w:rPr>
          <w:rFonts w:hint="eastAsia"/>
          <w:spacing w:val="4"/>
          <w:w w:val="95"/>
          <w:lang w:val="en-US" w:eastAsia="zh-CN"/>
        </w:rPr>
        <w:drawing>
          <wp:inline distT="0" distB="0" distL="114300" distR="114300">
            <wp:extent cx="4743450" cy="3126105"/>
            <wp:effectExtent l="4445" t="4445" r="14605"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eastAsia="仿宋"/>
          <w:spacing w:val="-10"/>
          <w:w w:val="95"/>
          <w:lang w:eastAsia="zh-CN"/>
        </w:rPr>
        <w:drawing>
          <wp:inline distT="0" distB="0" distL="114300" distR="114300">
            <wp:extent cx="5405755" cy="3409315"/>
            <wp:effectExtent l="0" t="0" r="4445" b="635"/>
            <wp:docPr id="13" name="图片 13" descr="36ffc2a86fe3cea7139d419d6dee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6ffc2a86fe3cea7139d419d6deeabc"/>
                    <pic:cNvPicPr>
                      <a:picLocks noChangeAspect="1"/>
                    </pic:cNvPicPr>
                  </pic:nvPicPr>
                  <pic:blipFill>
                    <a:blip r:embed="rId8"/>
                    <a:stretch>
                      <a:fillRect/>
                    </a:stretch>
                  </pic:blipFill>
                  <pic:spPr>
                    <a:xfrm>
                      <a:off x="0" y="0"/>
                      <a:ext cx="5405755" cy="3409315"/>
                    </a:xfrm>
                    <a:prstGeom prst="rect">
                      <a:avLst/>
                    </a:prstGeom>
                  </pic:spPr>
                </pic:pic>
              </a:graphicData>
            </a:graphic>
          </wp:inline>
        </w:drawing>
      </w:r>
    </w:p>
    <w:p>
      <w:pPr>
        <w:pStyle w:val="3"/>
        <w:spacing w:before="180" w:line="345" w:lineRule="auto"/>
        <w:ind w:right="737" w:firstLine="621"/>
        <w:jc w:val="both"/>
        <w:rPr>
          <w:rFonts w:hint="eastAsia" w:eastAsia="仿宋"/>
          <w:spacing w:val="-10"/>
          <w:w w:val="95"/>
          <w:lang w:eastAsia="zh-CN"/>
        </w:rPr>
      </w:pPr>
    </w:p>
    <w:p>
      <w:pPr>
        <w:pStyle w:val="3"/>
        <w:spacing w:line="408" w:lineRule="exact"/>
        <w:ind w:left="1130"/>
        <w:jc w:val="both"/>
        <w:rPr>
          <w:rFonts w:hint="eastAsia" w:ascii="楷体" w:eastAsia="楷体"/>
        </w:rPr>
      </w:pPr>
      <w:r>
        <w:rPr>
          <w:rFonts w:hint="eastAsia" w:ascii="楷体" w:eastAsia="楷体"/>
        </w:rPr>
        <w:t>（二）依申请公开情况</w:t>
      </w:r>
    </w:p>
    <w:p>
      <w:pPr>
        <w:pStyle w:val="3"/>
        <w:spacing w:before="181" w:line="345" w:lineRule="auto"/>
        <w:ind w:right="578" w:firstLine="621"/>
        <w:jc w:val="both"/>
        <w:rPr>
          <w:rFonts w:hint="eastAsia"/>
          <w:spacing w:val="-10"/>
        </w:rPr>
      </w:pPr>
      <w:r>
        <w:rPr>
          <w:rFonts w:hint="eastAsia"/>
          <w:spacing w:val="-10"/>
          <w:lang w:val="en-US" w:eastAsia="zh-CN"/>
        </w:rPr>
        <w:t>2022年微山县金融服务中心认真履行政府信息公开申请受理义务，截止目前，金融服务中心全年累计受理依申请公开政府信息0件，按时办结0件，且没有发生政府信息公开的收费情况。</w:t>
      </w:r>
    </w:p>
    <w:p>
      <w:pPr>
        <w:pStyle w:val="3"/>
        <w:spacing w:line="408" w:lineRule="exact"/>
        <w:ind w:left="1130"/>
        <w:jc w:val="both"/>
        <w:rPr>
          <w:rFonts w:hint="eastAsia" w:ascii="楷体" w:eastAsia="楷体"/>
        </w:rPr>
      </w:pPr>
      <w:r>
        <w:rPr>
          <w:rFonts w:hint="eastAsia" w:ascii="楷体" w:eastAsia="楷体"/>
        </w:rPr>
        <w:t>（三）政府信息管理情况</w:t>
      </w:r>
    </w:p>
    <w:p>
      <w:pPr>
        <w:pStyle w:val="3"/>
        <w:spacing w:before="181" w:line="345" w:lineRule="auto"/>
        <w:ind w:right="578" w:firstLine="621"/>
        <w:jc w:val="both"/>
      </w:pPr>
      <w:r>
        <w:rPr>
          <w:rFonts w:hint="eastAsia"/>
          <w:spacing w:val="-10"/>
        </w:rPr>
        <w:t>金融服务中心充分利用政务公开平台，对主动公开的规范性文件及时公开，积极进行在政府信息集成发布、精准推送、智能查询、管理利用等方面的创新，做好本单位信息管理工作。</w:t>
      </w:r>
    </w:p>
    <w:p>
      <w:pPr>
        <w:pStyle w:val="3"/>
        <w:spacing w:line="408" w:lineRule="exact"/>
        <w:ind w:left="1130"/>
        <w:jc w:val="both"/>
        <w:rPr>
          <w:rFonts w:hint="eastAsia" w:ascii="楷体" w:eastAsia="楷体"/>
        </w:rPr>
      </w:pPr>
      <w:r>
        <w:rPr>
          <w:rFonts w:hint="eastAsia" w:ascii="楷体" w:eastAsia="楷体"/>
        </w:rPr>
        <w:t>（四）政府信息公开平台建设情况</w:t>
      </w:r>
    </w:p>
    <w:p>
      <w:pPr>
        <w:pStyle w:val="3"/>
        <w:spacing w:before="180" w:line="345" w:lineRule="auto"/>
        <w:ind w:right="737" w:firstLine="621"/>
        <w:jc w:val="both"/>
      </w:pPr>
      <w:r>
        <w:rPr>
          <w:rFonts w:hint="eastAsia"/>
          <w:spacing w:val="-11"/>
          <w:w w:val="95"/>
        </w:rPr>
        <w:t>金融服务中心本年度政府信息公开主要包括政策法规、机构职能、会议公开等等，共计</w:t>
      </w:r>
      <w:r>
        <w:rPr>
          <w:rFonts w:hint="eastAsia"/>
          <w:spacing w:val="-11"/>
          <w:w w:val="95"/>
          <w:lang w:val="en-US" w:eastAsia="zh-CN"/>
        </w:rPr>
        <w:t>7</w:t>
      </w:r>
      <w:r>
        <w:rPr>
          <w:rFonts w:hint="eastAsia"/>
          <w:spacing w:val="-11"/>
          <w:w w:val="95"/>
        </w:rPr>
        <w:t>余条。主要通过微山县政府门户网站发布政府信息。</w:t>
      </w:r>
    </w:p>
    <w:p>
      <w:pPr>
        <w:pStyle w:val="3"/>
        <w:spacing w:line="408" w:lineRule="exact"/>
        <w:ind w:left="1130"/>
        <w:jc w:val="both"/>
        <w:rPr>
          <w:rFonts w:hint="eastAsia" w:ascii="楷体" w:eastAsia="楷体"/>
        </w:rPr>
      </w:pPr>
      <w:r>
        <w:rPr>
          <w:rFonts w:hint="eastAsia" w:ascii="楷体" w:eastAsia="楷体"/>
          <w:spacing w:val="-7"/>
          <w:w w:val="95"/>
        </w:rPr>
        <w:t>（</w:t>
      </w:r>
      <w:r>
        <w:rPr>
          <w:rFonts w:hint="eastAsia" w:ascii="楷体" w:eastAsia="楷体"/>
          <w:spacing w:val="-5"/>
          <w:w w:val="95"/>
        </w:rPr>
        <w:t>五</w:t>
      </w:r>
      <w:r>
        <w:rPr>
          <w:rFonts w:hint="eastAsia" w:ascii="楷体" w:eastAsia="楷体"/>
          <w:spacing w:val="-7"/>
          <w:w w:val="95"/>
        </w:rPr>
        <w:t>）</w:t>
      </w:r>
      <w:r>
        <w:rPr>
          <w:rFonts w:hint="eastAsia" w:ascii="楷体" w:eastAsia="楷体"/>
          <w:spacing w:val="-6"/>
          <w:w w:val="95"/>
        </w:rPr>
        <w:t>监督保障情况</w:t>
      </w:r>
    </w:p>
    <w:p>
      <w:pPr>
        <w:pStyle w:val="3"/>
        <w:spacing w:before="180" w:line="345" w:lineRule="auto"/>
        <w:ind w:right="737" w:firstLine="621"/>
        <w:jc w:val="both"/>
        <w:rPr>
          <w:rFonts w:hint="eastAsia"/>
          <w:spacing w:val="-11"/>
          <w:w w:val="95"/>
        </w:rPr>
      </w:pPr>
      <w:r>
        <w:rPr>
          <w:rFonts w:hint="eastAsia"/>
          <w:spacing w:val="-11"/>
          <w:w w:val="95"/>
        </w:rPr>
        <w:t>金融服务中心政务公开业务人员参加全县政务公开业务培训会议，提升政务公开能力。根据微山县政府下发的《关于开展202</w:t>
      </w:r>
      <w:r>
        <w:rPr>
          <w:rFonts w:hint="eastAsia"/>
          <w:spacing w:val="-11"/>
          <w:w w:val="95"/>
          <w:lang w:val="en-US" w:eastAsia="zh-CN"/>
        </w:rPr>
        <w:t>2</w:t>
      </w:r>
      <w:r>
        <w:rPr>
          <w:rFonts w:hint="eastAsia"/>
          <w:spacing w:val="-11"/>
          <w:w w:val="95"/>
        </w:rPr>
        <w:t>年度全县政务公开工作评估考核的通知》将政府信息公开内容更加全面。</w:t>
      </w:r>
    </w:p>
    <w:p>
      <w:pPr>
        <w:pStyle w:val="3"/>
        <w:spacing w:before="180" w:line="345" w:lineRule="auto"/>
        <w:ind w:right="737" w:firstLine="621"/>
        <w:jc w:val="both"/>
        <w:rPr>
          <w:rFonts w:hint="eastAsia" w:ascii="黑体" w:eastAsia="黑体"/>
        </w:rPr>
      </w:pPr>
      <w:r>
        <w:rPr>
          <w:rFonts w:hint="eastAsia" w:ascii="黑体" w:eastAsia="黑体"/>
        </w:rPr>
        <w:t>二、主动公开政府信息情况</w:t>
      </w:r>
    </w:p>
    <w:tbl>
      <w:tblPr>
        <w:tblStyle w:val="4"/>
        <w:tblW w:w="0" w:type="auto"/>
        <w:tblInd w:w="4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5"/>
        <w:gridCol w:w="2133"/>
        <w:gridCol w:w="2216"/>
        <w:gridCol w:w="1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73" w:type="dxa"/>
            <w:gridSpan w:val="4"/>
          </w:tcPr>
          <w:p>
            <w:pPr>
              <w:pStyle w:val="6"/>
              <w:spacing w:before="33" w:line="287" w:lineRule="exact"/>
              <w:ind w:left="3288" w:right="3266"/>
              <w:jc w:val="both"/>
              <w:rPr>
                <w:rFonts w:hint="eastAsia" w:ascii="黑体" w:eastAsia="黑体"/>
                <w:b/>
                <w:sz w:val="24"/>
              </w:rPr>
            </w:pPr>
            <w:r>
              <w:rPr>
                <w:rFonts w:hint="eastAsia" w:ascii="黑体" w:eastAsia="黑体"/>
                <w:b/>
                <w:sz w:val="24"/>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5" w:type="dxa"/>
          </w:tcPr>
          <w:p>
            <w:pPr>
              <w:pStyle w:val="6"/>
              <w:spacing w:before="31" w:line="289" w:lineRule="exact"/>
              <w:ind w:right="732"/>
              <w:jc w:val="both"/>
              <w:rPr>
                <w:b/>
                <w:sz w:val="24"/>
              </w:rPr>
            </w:pPr>
            <w:r>
              <w:rPr>
                <w:b/>
                <w:sz w:val="24"/>
              </w:rPr>
              <w:t>信息内容</w:t>
            </w:r>
          </w:p>
        </w:tc>
        <w:tc>
          <w:tcPr>
            <w:tcW w:w="2133" w:type="dxa"/>
          </w:tcPr>
          <w:p>
            <w:pPr>
              <w:pStyle w:val="6"/>
              <w:spacing w:before="31" w:line="289" w:lineRule="exact"/>
              <w:ind w:left="369"/>
              <w:jc w:val="both"/>
              <w:rPr>
                <w:b/>
                <w:sz w:val="24"/>
              </w:rPr>
            </w:pPr>
            <w:r>
              <w:rPr>
                <w:b/>
                <w:sz w:val="24"/>
              </w:rPr>
              <w:t>本年制发件数</w:t>
            </w:r>
          </w:p>
        </w:tc>
        <w:tc>
          <w:tcPr>
            <w:tcW w:w="2216" w:type="dxa"/>
          </w:tcPr>
          <w:p>
            <w:pPr>
              <w:pStyle w:val="6"/>
              <w:spacing w:before="31" w:line="289" w:lineRule="exact"/>
              <w:ind w:left="410"/>
              <w:jc w:val="both"/>
              <w:rPr>
                <w:b/>
                <w:sz w:val="24"/>
              </w:rPr>
            </w:pPr>
            <w:r>
              <w:rPr>
                <w:b/>
                <w:sz w:val="24"/>
              </w:rPr>
              <w:t>本年废止件数</w:t>
            </w:r>
          </w:p>
        </w:tc>
        <w:tc>
          <w:tcPr>
            <w:tcW w:w="1989" w:type="dxa"/>
          </w:tcPr>
          <w:p>
            <w:pPr>
              <w:pStyle w:val="6"/>
              <w:spacing w:before="31" w:line="289" w:lineRule="exact"/>
              <w:ind w:left="296"/>
              <w:jc w:val="both"/>
              <w:rPr>
                <w:b/>
                <w:sz w:val="24"/>
              </w:rPr>
            </w:pPr>
            <w:r>
              <w:rPr>
                <w:b/>
                <w:sz w:val="24"/>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5" w:type="dxa"/>
          </w:tcPr>
          <w:p>
            <w:pPr>
              <w:pStyle w:val="6"/>
              <w:spacing w:before="31" w:line="288" w:lineRule="exact"/>
              <w:ind w:left="56"/>
              <w:jc w:val="both"/>
              <w:rPr>
                <w:b/>
                <w:sz w:val="24"/>
              </w:rPr>
            </w:pPr>
            <w:r>
              <w:rPr>
                <w:b/>
                <w:sz w:val="24"/>
              </w:rPr>
              <w:t>规章</w:t>
            </w:r>
          </w:p>
        </w:tc>
        <w:tc>
          <w:tcPr>
            <w:tcW w:w="2133"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c>
          <w:tcPr>
            <w:tcW w:w="2216"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c>
          <w:tcPr>
            <w:tcW w:w="1989"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5" w:type="dxa"/>
          </w:tcPr>
          <w:p>
            <w:pPr>
              <w:pStyle w:val="6"/>
              <w:spacing w:before="32" w:line="288" w:lineRule="exact"/>
              <w:ind w:left="56"/>
              <w:jc w:val="both"/>
              <w:rPr>
                <w:b/>
                <w:sz w:val="24"/>
              </w:rPr>
            </w:pPr>
            <w:r>
              <w:rPr>
                <w:b/>
                <w:sz w:val="24"/>
              </w:rPr>
              <w:t>行政规范性文件</w:t>
            </w:r>
          </w:p>
        </w:tc>
        <w:tc>
          <w:tcPr>
            <w:tcW w:w="2133"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c>
          <w:tcPr>
            <w:tcW w:w="2216"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c>
          <w:tcPr>
            <w:tcW w:w="1989" w:type="dxa"/>
          </w:tcPr>
          <w:p>
            <w:pPr>
              <w:pStyle w:val="6"/>
              <w:jc w:val="center"/>
              <w:rPr>
                <w:rFonts w:hint="default"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73" w:type="dxa"/>
            <w:gridSpan w:val="4"/>
          </w:tcPr>
          <w:p>
            <w:pPr>
              <w:pStyle w:val="6"/>
              <w:spacing w:before="32" w:line="288" w:lineRule="exact"/>
              <w:ind w:left="3288" w:right="3266"/>
              <w:jc w:val="center"/>
              <w:rPr>
                <w:rFonts w:hint="eastAsia" w:ascii="黑体" w:eastAsia="黑体"/>
                <w:b/>
                <w:sz w:val="24"/>
              </w:rPr>
            </w:pPr>
            <w:r>
              <w:rPr>
                <w:rFonts w:hint="eastAsia" w:ascii="黑体" w:eastAsia="黑体"/>
                <w:b/>
                <w:sz w:val="24"/>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5" w:type="dxa"/>
          </w:tcPr>
          <w:p>
            <w:pPr>
              <w:pStyle w:val="6"/>
              <w:spacing w:before="30" w:line="290" w:lineRule="exact"/>
              <w:ind w:right="732"/>
              <w:jc w:val="both"/>
              <w:rPr>
                <w:b/>
                <w:sz w:val="24"/>
              </w:rPr>
            </w:pPr>
            <w:r>
              <w:rPr>
                <w:b/>
                <w:sz w:val="24"/>
              </w:rPr>
              <w:t>信息内容</w:t>
            </w:r>
          </w:p>
        </w:tc>
        <w:tc>
          <w:tcPr>
            <w:tcW w:w="6338" w:type="dxa"/>
            <w:gridSpan w:val="3"/>
          </w:tcPr>
          <w:p>
            <w:pPr>
              <w:pStyle w:val="6"/>
              <w:spacing w:before="30" w:line="290" w:lineRule="exact"/>
              <w:ind w:left="2191" w:right="2168"/>
              <w:jc w:val="center"/>
              <w:rPr>
                <w:b/>
                <w:sz w:val="24"/>
              </w:rPr>
            </w:pPr>
            <w:r>
              <w:rPr>
                <w:b/>
                <w:sz w:val="24"/>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2435" w:type="dxa"/>
          </w:tcPr>
          <w:p>
            <w:pPr>
              <w:pStyle w:val="6"/>
              <w:spacing w:before="30" w:line="289" w:lineRule="exact"/>
              <w:ind w:left="56"/>
              <w:jc w:val="both"/>
              <w:rPr>
                <w:b/>
                <w:sz w:val="24"/>
              </w:rPr>
            </w:pPr>
            <w:r>
              <w:rPr>
                <w:b/>
                <w:sz w:val="24"/>
              </w:rPr>
              <w:t>行政许可</w:t>
            </w:r>
          </w:p>
        </w:tc>
        <w:tc>
          <w:tcPr>
            <w:tcW w:w="6338" w:type="dxa"/>
            <w:gridSpan w:val="3"/>
          </w:tcPr>
          <w:p>
            <w:pPr>
              <w:pStyle w:val="6"/>
              <w:jc w:val="center"/>
              <w:rPr>
                <w:rFonts w:hint="eastAsia" w:ascii="Times New Roman" w:eastAsia="仿宋"/>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73" w:type="dxa"/>
            <w:gridSpan w:val="4"/>
          </w:tcPr>
          <w:p>
            <w:pPr>
              <w:pStyle w:val="6"/>
              <w:spacing w:before="31" w:line="289" w:lineRule="exact"/>
              <w:ind w:left="3288" w:right="3266"/>
              <w:jc w:val="center"/>
              <w:rPr>
                <w:rFonts w:hint="eastAsia" w:ascii="黑体" w:eastAsia="黑体"/>
                <w:b/>
                <w:sz w:val="24"/>
              </w:rPr>
            </w:pPr>
            <w:r>
              <w:rPr>
                <w:rFonts w:hint="eastAsia" w:ascii="黑体" w:eastAsia="黑体"/>
                <w:b/>
                <w:sz w:val="24"/>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5" w:type="dxa"/>
          </w:tcPr>
          <w:p>
            <w:pPr>
              <w:pStyle w:val="6"/>
              <w:spacing w:before="31" w:line="288" w:lineRule="exact"/>
              <w:ind w:right="732"/>
              <w:jc w:val="both"/>
              <w:rPr>
                <w:b/>
                <w:sz w:val="24"/>
              </w:rPr>
            </w:pPr>
            <w:r>
              <w:rPr>
                <w:b/>
                <w:sz w:val="24"/>
              </w:rPr>
              <w:t>信息内容</w:t>
            </w:r>
          </w:p>
        </w:tc>
        <w:tc>
          <w:tcPr>
            <w:tcW w:w="6338" w:type="dxa"/>
            <w:gridSpan w:val="3"/>
          </w:tcPr>
          <w:p>
            <w:pPr>
              <w:pStyle w:val="6"/>
              <w:spacing w:before="31" w:line="288" w:lineRule="exact"/>
              <w:ind w:left="2191" w:right="2168"/>
              <w:jc w:val="center"/>
              <w:rPr>
                <w:b/>
                <w:sz w:val="24"/>
              </w:rPr>
            </w:pPr>
            <w:r>
              <w:rPr>
                <w:b/>
                <w:sz w:val="24"/>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5" w:type="dxa"/>
          </w:tcPr>
          <w:p>
            <w:pPr>
              <w:pStyle w:val="6"/>
              <w:spacing w:before="32" w:line="288" w:lineRule="exact"/>
              <w:ind w:left="56"/>
              <w:jc w:val="both"/>
              <w:rPr>
                <w:b/>
                <w:sz w:val="24"/>
              </w:rPr>
            </w:pPr>
            <w:r>
              <w:rPr>
                <w:b/>
                <w:sz w:val="24"/>
              </w:rPr>
              <w:t>行政处罚</w:t>
            </w:r>
          </w:p>
        </w:tc>
        <w:tc>
          <w:tcPr>
            <w:tcW w:w="6338" w:type="dxa"/>
            <w:gridSpan w:val="3"/>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5" w:type="dxa"/>
          </w:tcPr>
          <w:p>
            <w:pPr>
              <w:pStyle w:val="6"/>
              <w:spacing w:before="30" w:line="290" w:lineRule="exact"/>
              <w:ind w:left="56"/>
              <w:jc w:val="both"/>
              <w:rPr>
                <w:b/>
                <w:sz w:val="24"/>
              </w:rPr>
            </w:pPr>
            <w:r>
              <w:rPr>
                <w:b/>
                <w:sz w:val="24"/>
              </w:rPr>
              <w:t>行政强制</w:t>
            </w:r>
          </w:p>
        </w:tc>
        <w:tc>
          <w:tcPr>
            <w:tcW w:w="6338" w:type="dxa"/>
            <w:gridSpan w:val="3"/>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73" w:type="dxa"/>
            <w:gridSpan w:val="4"/>
          </w:tcPr>
          <w:p>
            <w:pPr>
              <w:pStyle w:val="6"/>
              <w:spacing w:before="32" w:line="287" w:lineRule="exact"/>
              <w:ind w:left="3288" w:right="3266"/>
              <w:jc w:val="center"/>
              <w:rPr>
                <w:rFonts w:hint="eastAsia" w:ascii="黑体" w:eastAsia="黑体"/>
                <w:b/>
                <w:sz w:val="24"/>
              </w:rPr>
            </w:pPr>
            <w:r>
              <w:rPr>
                <w:rFonts w:hint="eastAsia" w:ascii="黑体" w:eastAsia="黑体"/>
                <w:b/>
                <w:sz w:val="24"/>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5" w:type="dxa"/>
          </w:tcPr>
          <w:p>
            <w:pPr>
              <w:pStyle w:val="6"/>
              <w:spacing w:before="30" w:line="289" w:lineRule="exact"/>
              <w:ind w:right="732"/>
              <w:jc w:val="both"/>
              <w:rPr>
                <w:b/>
                <w:sz w:val="24"/>
              </w:rPr>
            </w:pPr>
            <w:r>
              <w:rPr>
                <w:b/>
                <w:sz w:val="24"/>
              </w:rPr>
              <w:t>信息内容</w:t>
            </w:r>
          </w:p>
        </w:tc>
        <w:tc>
          <w:tcPr>
            <w:tcW w:w="6338" w:type="dxa"/>
            <w:gridSpan w:val="3"/>
          </w:tcPr>
          <w:p>
            <w:pPr>
              <w:pStyle w:val="6"/>
              <w:spacing w:before="30" w:line="289" w:lineRule="exact"/>
              <w:ind w:left="1660"/>
              <w:jc w:val="center"/>
              <w:rPr>
                <w:b/>
                <w:sz w:val="24"/>
              </w:rPr>
            </w:pPr>
            <w:r>
              <w:rPr>
                <w:b/>
                <w:sz w:val="24"/>
              </w:rPr>
              <w:t>本年收费金额（单位：万元）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2435" w:type="dxa"/>
          </w:tcPr>
          <w:p>
            <w:pPr>
              <w:pStyle w:val="6"/>
              <w:spacing w:before="31" w:line="289" w:lineRule="exact"/>
              <w:ind w:left="56"/>
              <w:jc w:val="both"/>
              <w:rPr>
                <w:b/>
                <w:sz w:val="24"/>
              </w:rPr>
            </w:pPr>
            <w:r>
              <w:rPr>
                <w:b/>
                <w:sz w:val="24"/>
              </w:rPr>
              <w:t>行政事业性收费</w:t>
            </w:r>
          </w:p>
        </w:tc>
        <w:tc>
          <w:tcPr>
            <w:tcW w:w="6338" w:type="dxa"/>
            <w:gridSpan w:val="3"/>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bl>
    <w:p>
      <w:pPr>
        <w:pStyle w:val="3"/>
        <w:spacing w:before="223"/>
        <w:ind w:left="1130"/>
        <w:jc w:val="both"/>
        <w:rPr>
          <w:rFonts w:hint="eastAsia" w:ascii="黑体" w:eastAsia="黑体"/>
        </w:rPr>
      </w:pPr>
      <w:r>
        <w:rPr>
          <w:rFonts w:hint="eastAsia" w:ascii="黑体" w:eastAsia="黑体"/>
        </w:rPr>
        <w:t>三、收到和处理政府信息公开申请情况</w:t>
      </w:r>
    </w:p>
    <w:p>
      <w:pPr>
        <w:pStyle w:val="3"/>
        <w:spacing w:before="3"/>
        <w:ind w:left="0"/>
        <w:jc w:val="both"/>
        <w:rPr>
          <w:rFonts w:ascii="黑体"/>
          <w:sz w:val="7"/>
        </w:rPr>
      </w:pPr>
    </w:p>
    <w:tbl>
      <w:tblPr>
        <w:tblStyle w:val="4"/>
        <w:tblW w:w="0" w:type="auto"/>
        <w:tblInd w:w="4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588" w:type="dxa"/>
            <w:gridSpan w:val="3"/>
            <w:vMerge w:val="restart"/>
          </w:tcPr>
          <w:p>
            <w:pPr>
              <w:pStyle w:val="6"/>
              <w:jc w:val="both"/>
              <w:rPr>
                <w:rFonts w:ascii="黑体"/>
                <w:b/>
                <w:sz w:val="24"/>
              </w:rPr>
            </w:pPr>
          </w:p>
          <w:p>
            <w:pPr>
              <w:pStyle w:val="6"/>
              <w:spacing w:before="182" w:line="266" w:lineRule="auto"/>
              <w:ind w:left="1081" w:hanging="968"/>
              <w:jc w:val="both"/>
              <w:rPr>
                <w:rFonts w:hint="eastAsia" w:ascii="黑体" w:eastAsia="黑体"/>
                <w:b/>
                <w:sz w:val="21"/>
              </w:rPr>
            </w:pPr>
            <w:r>
              <w:rPr>
                <w:rFonts w:hint="eastAsia" w:ascii="黑体" w:eastAsia="黑体"/>
                <w:b/>
                <w:spacing w:val="-8"/>
                <w:w w:val="95"/>
                <w:sz w:val="21"/>
              </w:rPr>
              <w:t>（</w:t>
            </w:r>
            <w:r>
              <w:rPr>
                <w:rFonts w:hint="eastAsia" w:ascii="黑体" w:eastAsia="黑体"/>
                <w:b/>
                <w:spacing w:val="-9"/>
                <w:w w:val="95"/>
                <w:sz w:val="21"/>
              </w:rPr>
              <w:t xml:space="preserve">本列数据的勾稽关系为：第一项加第二项之和， </w:t>
            </w:r>
            <w:r>
              <w:rPr>
                <w:rFonts w:hint="eastAsia" w:ascii="黑体" w:eastAsia="黑体"/>
                <w:b/>
                <w:spacing w:val="-8"/>
                <w:sz w:val="21"/>
              </w:rPr>
              <w:t>等于第三项加第四项之和</w:t>
            </w:r>
            <w:r>
              <w:rPr>
                <w:rFonts w:hint="eastAsia" w:ascii="黑体" w:eastAsia="黑体"/>
                <w:b/>
                <w:sz w:val="21"/>
              </w:rPr>
              <w:t>）</w:t>
            </w:r>
          </w:p>
        </w:tc>
        <w:tc>
          <w:tcPr>
            <w:tcW w:w="4229" w:type="dxa"/>
            <w:gridSpan w:val="7"/>
          </w:tcPr>
          <w:p>
            <w:pPr>
              <w:pStyle w:val="6"/>
              <w:spacing w:before="28" w:line="251" w:lineRule="exact"/>
              <w:ind w:left="1570" w:right="1553"/>
              <w:jc w:val="both"/>
              <w:rPr>
                <w:rFonts w:hint="eastAsia" w:ascii="黑体" w:eastAsia="黑体"/>
                <w:b/>
                <w:sz w:val="21"/>
              </w:rPr>
            </w:pPr>
            <w:r>
              <w:rPr>
                <w:rFonts w:hint="eastAsia" w:ascii="黑体" w:eastAsia="黑体"/>
                <w:b/>
                <w:sz w:val="21"/>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588" w:type="dxa"/>
            <w:gridSpan w:val="3"/>
            <w:vMerge w:val="continue"/>
            <w:tcBorders>
              <w:top w:val="nil"/>
            </w:tcBorders>
          </w:tcPr>
          <w:p>
            <w:pPr>
              <w:jc w:val="both"/>
              <w:rPr>
                <w:sz w:val="2"/>
                <w:szCs w:val="2"/>
              </w:rPr>
            </w:pPr>
          </w:p>
        </w:tc>
        <w:tc>
          <w:tcPr>
            <w:tcW w:w="791" w:type="dxa"/>
            <w:vMerge w:val="restart"/>
          </w:tcPr>
          <w:p>
            <w:pPr>
              <w:pStyle w:val="6"/>
              <w:jc w:val="both"/>
              <w:rPr>
                <w:rFonts w:ascii="黑体"/>
                <w:b/>
                <w:sz w:val="24"/>
              </w:rPr>
            </w:pPr>
          </w:p>
          <w:p>
            <w:pPr>
              <w:pStyle w:val="6"/>
              <w:spacing w:before="177"/>
              <w:ind w:left="90"/>
              <w:jc w:val="both"/>
              <w:rPr>
                <w:rFonts w:hint="eastAsia" w:ascii="黑体" w:eastAsia="黑体"/>
                <w:b/>
                <w:sz w:val="21"/>
              </w:rPr>
            </w:pPr>
            <w:r>
              <w:rPr>
                <w:rFonts w:hint="eastAsia" w:ascii="黑体" w:eastAsia="黑体"/>
                <w:b/>
                <w:sz w:val="21"/>
              </w:rPr>
              <w:t>自然人</w:t>
            </w:r>
          </w:p>
        </w:tc>
        <w:tc>
          <w:tcPr>
            <w:tcW w:w="2917" w:type="dxa"/>
            <w:gridSpan w:val="5"/>
          </w:tcPr>
          <w:p>
            <w:pPr>
              <w:pStyle w:val="6"/>
              <w:spacing w:before="28" w:line="252" w:lineRule="exact"/>
              <w:ind w:left="749"/>
              <w:jc w:val="both"/>
              <w:rPr>
                <w:rFonts w:hint="eastAsia" w:ascii="黑体" w:eastAsia="黑体"/>
                <w:b/>
                <w:sz w:val="21"/>
              </w:rPr>
            </w:pPr>
            <w:r>
              <w:rPr>
                <w:rFonts w:hint="eastAsia" w:ascii="黑体" w:eastAsia="黑体"/>
                <w:b/>
                <w:sz w:val="21"/>
              </w:rPr>
              <w:t>法人或其他组织</w:t>
            </w:r>
          </w:p>
        </w:tc>
        <w:tc>
          <w:tcPr>
            <w:tcW w:w="521" w:type="dxa"/>
            <w:vMerge w:val="restart"/>
          </w:tcPr>
          <w:p>
            <w:pPr>
              <w:pStyle w:val="6"/>
              <w:jc w:val="both"/>
              <w:rPr>
                <w:rFonts w:ascii="黑体"/>
                <w:b/>
                <w:sz w:val="24"/>
              </w:rPr>
            </w:pPr>
          </w:p>
          <w:p>
            <w:pPr>
              <w:pStyle w:val="6"/>
              <w:spacing w:before="177"/>
              <w:ind w:left="57"/>
              <w:jc w:val="both"/>
              <w:rPr>
                <w:rFonts w:hint="eastAsia" w:ascii="黑体" w:eastAsia="黑体"/>
                <w:b/>
                <w:sz w:val="21"/>
              </w:rPr>
            </w:pPr>
            <w:r>
              <w:rPr>
                <w:rFonts w:hint="eastAsia" w:ascii="黑体" w:eastAsia="黑体"/>
                <w:b/>
                <w:sz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4588" w:type="dxa"/>
            <w:gridSpan w:val="3"/>
            <w:vMerge w:val="continue"/>
            <w:tcBorders>
              <w:top w:val="nil"/>
            </w:tcBorders>
          </w:tcPr>
          <w:p>
            <w:pPr>
              <w:jc w:val="both"/>
              <w:rPr>
                <w:sz w:val="2"/>
                <w:szCs w:val="2"/>
              </w:rPr>
            </w:pPr>
          </w:p>
        </w:tc>
        <w:tc>
          <w:tcPr>
            <w:tcW w:w="791" w:type="dxa"/>
            <w:vMerge w:val="continue"/>
            <w:tcBorders>
              <w:top w:val="nil"/>
            </w:tcBorders>
          </w:tcPr>
          <w:p>
            <w:pPr>
              <w:jc w:val="both"/>
              <w:rPr>
                <w:sz w:val="2"/>
                <w:szCs w:val="2"/>
              </w:rPr>
            </w:pPr>
          </w:p>
        </w:tc>
        <w:tc>
          <w:tcPr>
            <w:tcW w:w="599" w:type="dxa"/>
          </w:tcPr>
          <w:p>
            <w:pPr>
              <w:pStyle w:val="6"/>
              <w:spacing w:before="179" w:line="266" w:lineRule="auto"/>
              <w:ind w:left="96" w:right="35"/>
              <w:jc w:val="both"/>
              <w:rPr>
                <w:rFonts w:hint="eastAsia" w:ascii="黑体" w:eastAsia="黑体"/>
                <w:b/>
                <w:sz w:val="21"/>
              </w:rPr>
            </w:pPr>
            <w:r>
              <w:rPr>
                <w:rFonts w:hint="eastAsia" w:ascii="黑体" w:eastAsia="黑体"/>
                <w:b/>
                <w:sz w:val="21"/>
              </w:rPr>
              <w:t>商业企业</w:t>
            </w:r>
          </w:p>
        </w:tc>
        <w:tc>
          <w:tcPr>
            <w:tcW w:w="590" w:type="dxa"/>
          </w:tcPr>
          <w:p>
            <w:pPr>
              <w:pStyle w:val="6"/>
              <w:spacing w:before="179" w:line="266" w:lineRule="auto"/>
              <w:ind w:left="92" w:right="33"/>
              <w:jc w:val="both"/>
              <w:rPr>
                <w:rFonts w:hint="eastAsia" w:ascii="黑体" w:eastAsia="黑体"/>
                <w:b/>
                <w:sz w:val="21"/>
              </w:rPr>
            </w:pPr>
            <w:r>
              <w:rPr>
                <w:rFonts w:hint="eastAsia" w:ascii="黑体" w:eastAsia="黑体"/>
                <w:b/>
                <w:sz w:val="21"/>
              </w:rPr>
              <w:t>科研机构</w:t>
            </w:r>
          </w:p>
        </w:tc>
        <w:tc>
          <w:tcPr>
            <w:tcW w:w="598" w:type="dxa"/>
          </w:tcPr>
          <w:p>
            <w:pPr>
              <w:pStyle w:val="6"/>
              <w:spacing w:before="28" w:line="266" w:lineRule="auto"/>
              <w:ind w:left="95" w:right="79"/>
              <w:jc w:val="both"/>
              <w:rPr>
                <w:rFonts w:hint="eastAsia" w:ascii="黑体" w:eastAsia="黑体"/>
                <w:b/>
                <w:sz w:val="21"/>
              </w:rPr>
            </w:pPr>
            <w:r>
              <w:rPr>
                <w:rFonts w:hint="eastAsia" w:ascii="黑体" w:eastAsia="黑体"/>
                <w:b/>
                <w:spacing w:val="-13"/>
                <w:sz w:val="21"/>
              </w:rPr>
              <w:t>社会</w:t>
            </w:r>
            <w:r>
              <w:rPr>
                <w:rFonts w:hint="eastAsia" w:ascii="黑体" w:eastAsia="黑体"/>
                <w:b/>
                <w:spacing w:val="-13"/>
                <w:w w:val="95"/>
                <w:sz w:val="21"/>
              </w:rPr>
              <w:t>公益</w:t>
            </w:r>
          </w:p>
          <w:p>
            <w:pPr>
              <w:pStyle w:val="6"/>
              <w:spacing w:before="2" w:line="252" w:lineRule="exact"/>
              <w:ind w:left="95"/>
              <w:jc w:val="both"/>
              <w:rPr>
                <w:rFonts w:hint="eastAsia" w:ascii="黑体" w:eastAsia="黑体"/>
                <w:b/>
                <w:sz w:val="21"/>
              </w:rPr>
            </w:pPr>
            <w:r>
              <w:rPr>
                <w:rFonts w:hint="eastAsia" w:ascii="黑体" w:eastAsia="黑体"/>
                <w:b/>
                <w:spacing w:val="-4"/>
                <w:w w:val="95"/>
                <w:sz w:val="21"/>
              </w:rPr>
              <w:t>组织</w:t>
            </w:r>
          </w:p>
        </w:tc>
        <w:tc>
          <w:tcPr>
            <w:tcW w:w="571" w:type="dxa"/>
          </w:tcPr>
          <w:p>
            <w:pPr>
              <w:pStyle w:val="6"/>
              <w:spacing w:before="28" w:line="266" w:lineRule="auto"/>
              <w:ind w:left="83" w:right="65"/>
              <w:jc w:val="both"/>
              <w:rPr>
                <w:rFonts w:hint="eastAsia" w:ascii="黑体" w:eastAsia="黑体"/>
                <w:b/>
                <w:sz w:val="21"/>
              </w:rPr>
            </w:pPr>
            <w:r>
              <w:rPr>
                <w:rFonts w:hint="eastAsia" w:ascii="黑体" w:eastAsia="黑体"/>
                <w:b/>
                <w:spacing w:val="-13"/>
                <w:sz w:val="21"/>
              </w:rPr>
              <w:t>法律</w:t>
            </w:r>
            <w:r>
              <w:rPr>
                <w:rFonts w:hint="eastAsia" w:ascii="黑体" w:eastAsia="黑体"/>
                <w:b/>
                <w:spacing w:val="-13"/>
                <w:w w:val="95"/>
                <w:sz w:val="21"/>
              </w:rPr>
              <w:t>服务</w:t>
            </w:r>
          </w:p>
          <w:p>
            <w:pPr>
              <w:pStyle w:val="6"/>
              <w:spacing w:before="2" w:line="252" w:lineRule="exact"/>
              <w:ind w:left="83"/>
              <w:jc w:val="both"/>
              <w:rPr>
                <w:rFonts w:hint="eastAsia" w:ascii="黑体" w:eastAsia="黑体"/>
                <w:b/>
                <w:sz w:val="21"/>
              </w:rPr>
            </w:pPr>
            <w:r>
              <w:rPr>
                <w:rFonts w:hint="eastAsia" w:ascii="黑体" w:eastAsia="黑体"/>
                <w:b/>
                <w:spacing w:val="-4"/>
                <w:w w:val="95"/>
                <w:sz w:val="21"/>
              </w:rPr>
              <w:t>机构</w:t>
            </w:r>
          </w:p>
        </w:tc>
        <w:tc>
          <w:tcPr>
            <w:tcW w:w="559" w:type="dxa"/>
          </w:tcPr>
          <w:p>
            <w:pPr>
              <w:pStyle w:val="6"/>
              <w:spacing w:before="7"/>
              <w:jc w:val="both"/>
              <w:rPr>
                <w:rFonts w:ascii="黑体"/>
                <w:b/>
                <w:sz w:val="25"/>
              </w:rPr>
            </w:pPr>
          </w:p>
          <w:p>
            <w:pPr>
              <w:pStyle w:val="6"/>
              <w:ind w:left="76"/>
              <w:jc w:val="both"/>
              <w:rPr>
                <w:rFonts w:hint="eastAsia" w:ascii="黑体" w:eastAsia="黑体"/>
                <w:b/>
                <w:sz w:val="21"/>
              </w:rPr>
            </w:pPr>
            <w:r>
              <w:rPr>
                <w:rFonts w:hint="eastAsia" w:ascii="黑体" w:eastAsia="黑体"/>
                <w:b/>
                <w:sz w:val="21"/>
              </w:rPr>
              <w:t>其他</w:t>
            </w:r>
          </w:p>
        </w:tc>
        <w:tc>
          <w:tcPr>
            <w:tcW w:w="521" w:type="dxa"/>
            <w:vMerge w:val="continue"/>
            <w:tcBorders>
              <w:top w:val="nil"/>
            </w:tcBorders>
          </w:tcPr>
          <w:p>
            <w:pPr>
              <w:jc w:val="both"/>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4588" w:type="dxa"/>
            <w:gridSpan w:val="3"/>
          </w:tcPr>
          <w:p>
            <w:pPr>
              <w:pStyle w:val="6"/>
              <w:spacing w:before="92"/>
              <w:ind w:left="56"/>
              <w:jc w:val="both"/>
              <w:rPr>
                <w:b/>
                <w:sz w:val="21"/>
              </w:rPr>
            </w:pPr>
            <w:r>
              <w:rPr>
                <w:b/>
                <w:sz w:val="21"/>
              </w:rPr>
              <w:t>一、本年新收政府信息公开申请数量</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588" w:type="dxa"/>
            <w:gridSpan w:val="3"/>
          </w:tcPr>
          <w:p>
            <w:pPr>
              <w:pStyle w:val="6"/>
              <w:spacing w:before="78"/>
              <w:ind w:left="56"/>
              <w:jc w:val="both"/>
              <w:rPr>
                <w:b/>
                <w:sz w:val="21"/>
              </w:rPr>
            </w:pPr>
            <w:r>
              <w:rPr>
                <w:b/>
                <w:sz w:val="21"/>
              </w:rPr>
              <w:t>二、上年结转政府信息公开申请数量</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68" w:type="dxa"/>
            <w:vMerge w:val="restart"/>
          </w:tcPr>
          <w:p>
            <w:pPr>
              <w:pStyle w:val="6"/>
              <w:jc w:val="both"/>
              <w:rPr>
                <w:rFonts w:ascii="黑体"/>
                <w:b/>
                <w:sz w:val="24"/>
              </w:rPr>
            </w:pPr>
          </w:p>
          <w:p>
            <w:pPr>
              <w:pStyle w:val="6"/>
              <w:jc w:val="both"/>
              <w:rPr>
                <w:rFonts w:ascii="黑体"/>
                <w:b/>
                <w:sz w:val="24"/>
              </w:rPr>
            </w:pPr>
          </w:p>
          <w:p>
            <w:pPr>
              <w:pStyle w:val="6"/>
              <w:jc w:val="both"/>
              <w:rPr>
                <w:rFonts w:ascii="黑体"/>
                <w:b/>
                <w:sz w:val="24"/>
              </w:rPr>
            </w:pPr>
          </w:p>
          <w:p>
            <w:pPr>
              <w:pStyle w:val="6"/>
              <w:jc w:val="both"/>
              <w:rPr>
                <w:rFonts w:ascii="黑体"/>
                <w:b/>
                <w:sz w:val="24"/>
              </w:rPr>
            </w:pPr>
          </w:p>
          <w:p>
            <w:pPr>
              <w:pStyle w:val="6"/>
              <w:jc w:val="both"/>
              <w:rPr>
                <w:rFonts w:ascii="黑体"/>
                <w:b/>
                <w:sz w:val="24"/>
              </w:rPr>
            </w:pPr>
          </w:p>
          <w:p>
            <w:pPr>
              <w:pStyle w:val="6"/>
              <w:jc w:val="both"/>
              <w:rPr>
                <w:rFonts w:ascii="黑体"/>
                <w:b/>
                <w:sz w:val="24"/>
              </w:rPr>
            </w:pPr>
          </w:p>
          <w:p>
            <w:pPr>
              <w:pStyle w:val="6"/>
              <w:spacing w:before="169" w:line="266" w:lineRule="auto"/>
              <w:ind w:left="56" w:right="84"/>
              <w:jc w:val="both"/>
              <w:rPr>
                <w:b/>
                <w:sz w:val="21"/>
              </w:rPr>
            </w:pPr>
            <w:r>
              <w:rPr>
                <w:b/>
                <w:spacing w:val="-10"/>
                <w:sz w:val="21"/>
              </w:rPr>
              <w:t>三、本年度办理结果</w:t>
            </w:r>
          </w:p>
        </w:tc>
        <w:tc>
          <w:tcPr>
            <w:tcW w:w="3820" w:type="dxa"/>
            <w:gridSpan w:val="2"/>
          </w:tcPr>
          <w:p>
            <w:pPr>
              <w:pStyle w:val="6"/>
              <w:spacing w:before="30" w:line="250" w:lineRule="exact"/>
              <w:ind w:left="56"/>
              <w:jc w:val="both"/>
              <w:rPr>
                <w:b/>
                <w:sz w:val="21"/>
              </w:rPr>
            </w:pPr>
            <w:r>
              <w:rPr>
                <w:b/>
                <w:sz w:val="21"/>
              </w:rPr>
              <w:t>（一）予以公开</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768" w:type="dxa"/>
            <w:vMerge w:val="continue"/>
            <w:tcBorders>
              <w:top w:val="nil"/>
            </w:tcBorders>
          </w:tcPr>
          <w:p>
            <w:pPr>
              <w:jc w:val="both"/>
              <w:rPr>
                <w:sz w:val="2"/>
                <w:szCs w:val="2"/>
              </w:rPr>
            </w:pPr>
          </w:p>
        </w:tc>
        <w:tc>
          <w:tcPr>
            <w:tcW w:w="3820" w:type="dxa"/>
            <w:gridSpan w:val="2"/>
          </w:tcPr>
          <w:p>
            <w:pPr>
              <w:pStyle w:val="6"/>
              <w:spacing w:before="84" w:line="266" w:lineRule="auto"/>
              <w:ind w:left="56" w:right="97"/>
              <w:jc w:val="both"/>
              <w:rPr>
                <w:b/>
                <w:sz w:val="21"/>
              </w:rPr>
            </w:pPr>
            <w:r>
              <w:rPr>
                <w:b/>
                <w:w w:val="95"/>
                <w:sz w:val="21"/>
              </w:rPr>
              <w:t>（二）部分公开（区分处理的，只计这一</w:t>
            </w:r>
            <w:r>
              <w:rPr>
                <w:b/>
                <w:sz w:val="21"/>
              </w:rPr>
              <w:t>情形，不计其他情形）</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68" w:type="dxa"/>
            <w:vMerge w:val="continue"/>
            <w:tcBorders>
              <w:top w:val="nil"/>
            </w:tcBorders>
          </w:tcPr>
          <w:p>
            <w:pPr>
              <w:jc w:val="both"/>
              <w:rPr>
                <w:sz w:val="2"/>
                <w:szCs w:val="2"/>
              </w:rPr>
            </w:pPr>
          </w:p>
        </w:tc>
        <w:tc>
          <w:tcPr>
            <w:tcW w:w="942" w:type="dxa"/>
            <w:vMerge w:val="restart"/>
          </w:tcPr>
          <w:p>
            <w:pPr>
              <w:pStyle w:val="6"/>
              <w:jc w:val="both"/>
              <w:rPr>
                <w:rFonts w:ascii="黑体"/>
                <w:b/>
                <w:sz w:val="24"/>
              </w:rPr>
            </w:pPr>
          </w:p>
          <w:p>
            <w:pPr>
              <w:pStyle w:val="6"/>
              <w:jc w:val="both"/>
              <w:rPr>
                <w:rFonts w:ascii="黑体"/>
                <w:b/>
                <w:sz w:val="24"/>
              </w:rPr>
            </w:pPr>
          </w:p>
          <w:p>
            <w:pPr>
              <w:pStyle w:val="6"/>
              <w:jc w:val="both"/>
              <w:rPr>
                <w:rFonts w:ascii="黑体"/>
                <w:b/>
                <w:sz w:val="24"/>
              </w:rPr>
            </w:pPr>
          </w:p>
          <w:p>
            <w:pPr>
              <w:pStyle w:val="6"/>
              <w:spacing w:before="203" w:line="266" w:lineRule="auto"/>
              <w:ind w:left="56" w:right="16"/>
              <w:jc w:val="both"/>
              <w:rPr>
                <w:b/>
                <w:sz w:val="21"/>
              </w:rPr>
            </w:pPr>
            <w:r>
              <w:rPr>
                <w:b/>
                <w:sz w:val="21"/>
              </w:rPr>
              <w:t>（三）不予公开</w:t>
            </w:r>
          </w:p>
        </w:tc>
        <w:tc>
          <w:tcPr>
            <w:tcW w:w="2878" w:type="dxa"/>
          </w:tcPr>
          <w:p>
            <w:pPr>
              <w:pStyle w:val="6"/>
              <w:spacing w:before="29"/>
              <w:ind w:left="57"/>
              <w:jc w:val="both"/>
              <w:rPr>
                <w:b/>
                <w:sz w:val="21"/>
              </w:rPr>
            </w:pPr>
            <w:r>
              <w:rPr>
                <w:b/>
                <w:sz w:val="21"/>
              </w:rPr>
              <w:t>1 .属于国家秘密</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29"/>
              <w:ind w:left="57"/>
              <w:jc w:val="both"/>
              <w:rPr>
                <w:b/>
                <w:sz w:val="21"/>
              </w:rPr>
            </w:pPr>
            <w:r>
              <w:rPr>
                <w:b/>
                <w:sz w:val="21"/>
              </w:rPr>
              <w:t>2.其他法律行政法规禁止公开</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30"/>
              <w:ind w:left="57"/>
              <w:jc w:val="both"/>
              <w:rPr>
                <w:b/>
                <w:sz w:val="21"/>
              </w:rPr>
            </w:pPr>
            <w:r>
              <w:rPr>
                <w:b/>
                <w:sz w:val="21"/>
              </w:rPr>
              <w:t>3.危及“三安全一稳定”</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30"/>
              <w:ind w:left="57"/>
              <w:jc w:val="both"/>
              <w:rPr>
                <w:b/>
                <w:sz w:val="21"/>
              </w:rPr>
            </w:pPr>
            <w:r>
              <w:rPr>
                <w:b/>
                <w:sz w:val="21"/>
              </w:rPr>
              <w:t>4.保护第三方合法权益</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30"/>
              <w:ind w:left="57"/>
              <w:jc w:val="both"/>
              <w:rPr>
                <w:b/>
                <w:sz w:val="21"/>
              </w:rPr>
            </w:pPr>
            <w:r>
              <w:rPr>
                <w:b/>
                <w:sz w:val="21"/>
              </w:rPr>
              <w:t>5.属于三类内部事务信息</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31"/>
              <w:ind w:left="57"/>
              <w:jc w:val="both"/>
              <w:rPr>
                <w:b/>
                <w:sz w:val="21"/>
              </w:rPr>
            </w:pPr>
            <w:r>
              <w:rPr>
                <w:b/>
                <w:sz w:val="21"/>
              </w:rPr>
              <w:t>6.属于四类过程性信息</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29"/>
              <w:ind w:left="57"/>
              <w:jc w:val="both"/>
              <w:rPr>
                <w:b/>
                <w:sz w:val="21"/>
              </w:rPr>
            </w:pPr>
            <w:r>
              <w:rPr>
                <w:b/>
                <w:sz w:val="21"/>
              </w:rPr>
              <w:t>7.属于行政执法案卷</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29"/>
              <w:ind w:left="57"/>
              <w:jc w:val="both"/>
              <w:rPr>
                <w:b/>
                <w:sz w:val="21"/>
              </w:rPr>
            </w:pPr>
            <w:r>
              <w:rPr>
                <w:b/>
                <w:sz w:val="21"/>
              </w:rPr>
              <w:t>8.属于行政查询事项</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68" w:type="dxa"/>
            <w:vMerge w:val="continue"/>
            <w:tcBorders>
              <w:top w:val="nil"/>
            </w:tcBorders>
          </w:tcPr>
          <w:p>
            <w:pPr>
              <w:jc w:val="both"/>
              <w:rPr>
                <w:sz w:val="2"/>
                <w:szCs w:val="2"/>
              </w:rPr>
            </w:pPr>
          </w:p>
        </w:tc>
        <w:tc>
          <w:tcPr>
            <w:tcW w:w="942" w:type="dxa"/>
            <w:vMerge w:val="restart"/>
          </w:tcPr>
          <w:p>
            <w:pPr>
              <w:pStyle w:val="6"/>
              <w:spacing w:before="7"/>
              <w:jc w:val="both"/>
              <w:rPr>
                <w:rFonts w:ascii="黑体"/>
                <w:b/>
                <w:sz w:val="19"/>
              </w:rPr>
            </w:pPr>
          </w:p>
          <w:p>
            <w:pPr>
              <w:pStyle w:val="6"/>
              <w:spacing w:line="266" w:lineRule="auto"/>
              <w:ind w:left="56" w:right="16"/>
              <w:jc w:val="both"/>
              <w:rPr>
                <w:b/>
                <w:sz w:val="21"/>
              </w:rPr>
            </w:pPr>
            <w:r>
              <w:rPr>
                <w:b/>
                <w:sz w:val="21"/>
              </w:rPr>
              <w:t>（四）无法提供</w:t>
            </w:r>
          </w:p>
        </w:tc>
        <w:tc>
          <w:tcPr>
            <w:tcW w:w="2878" w:type="dxa"/>
          </w:tcPr>
          <w:p>
            <w:pPr>
              <w:pStyle w:val="6"/>
              <w:spacing w:before="30"/>
              <w:ind w:left="57"/>
              <w:jc w:val="both"/>
              <w:rPr>
                <w:b/>
                <w:sz w:val="21"/>
              </w:rPr>
            </w:pPr>
            <w:r>
              <w:rPr>
                <w:b/>
                <w:sz w:val="21"/>
              </w:rPr>
              <w:t>1</w:t>
            </w:r>
            <w:r>
              <w:rPr>
                <w:b/>
                <w:spacing w:val="-18"/>
                <w:sz w:val="21"/>
              </w:rPr>
              <w:t xml:space="preserve"> .本机关不掌握相关政府信息</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30"/>
              <w:ind w:left="57"/>
              <w:jc w:val="both"/>
              <w:rPr>
                <w:b/>
                <w:sz w:val="21"/>
              </w:rPr>
            </w:pPr>
            <w:r>
              <w:rPr>
                <w:b/>
                <w:sz w:val="21"/>
              </w:rPr>
              <w:t>2.没有现成信息需要另行制作</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30"/>
              <w:ind w:left="57"/>
              <w:jc w:val="both"/>
              <w:rPr>
                <w:b/>
                <w:sz w:val="21"/>
              </w:rPr>
            </w:pPr>
            <w:r>
              <w:rPr>
                <w:b/>
                <w:sz w:val="21"/>
              </w:rPr>
              <w:t>3.补正后申请内容仍不明确</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68" w:type="dxa"/>
            <w:vMerge w:val="restart"/>
          </w:tcPr>
          <w:p>
            <w:pPr>
              <w:pStyle w:val="6"/>
              <w:jc w:val="both"/>
              <w:rPr>
                <w:rFonts w:ascii="Times New Roman"/>
                <w:sz w:val="26"/>
              </w:rPr>
            </w:pPr>
          </w:p>
        </w:tc>
        <w:tc>
          <w:tcPr>
            <w:tcW w:w="942" w:type="dxa"/>
            <w:vMerge w:val="restart"/>
          </w:tcPr>
          <w:p>
            <w:pPr>
              <w:pStyle w:val="6"/>
              <w:jc w:val="both"/>
              <w:rPr>
                <w:rFonts w:ascii="黑体"/>
                <w:b/>
                <w:sz w:val="24"/>
              </w:rPr>
            </w:pPr>
          </w:p>
          <w:p>
            <w:pPr>
              <w:pStyle w:val="6"/>
              <w:spacing w:before="2"/>
              <w:jc w:val="both"/>
              <w:rPr>
                <w:rFonts w:ascii="黑体"/>
                <w:b/>
                <w:sz w:val="33"/>
              </w:rPr>
            </w:pPr>
          </w:p>
          <w:p>
            <w:pPr>
              <w:pStyle w:val="6"/>
              <w:spacing w:line="266" w:lineRule="auto"/>
              <w:ind w:left="56" w:right="16"/>
              <w:jc w:val="both"/>
              <w:rPr>
                <w:b/>
                <w:sz w:val="21"/>
              </w:rPr>
            </w:pPr>
            <w:r>
              <w:rPr>
                <w:b/>
                <w:sz w:val="21"/>
              </w:rPr>
              <w:t>（五）不予处理</w:t>
            </w:r>
          </w:p>
        </w:tc>
        <w:tc>
          <w:tcPr>
            <w:tcW w:w="2878" w:type="dxa"/>
          </w:tcPr>
          <w:p>
            <w:pPr>
              <w:pStyle w:val="6"/>
              <w:spacing w:before="22" w:line="257" w:lineRule="exact"/>
              <w:ind w:left="57"/>
              <w:jc w:val="both"/>
              <w:rPr>
                <w:b/>
                <w:sz w:val="21"/>
              </w:rPr>
            </w:pPr>
            <w:r>
              <w:rPr>
                <w:b/>
                <w:sz w:val="21"/>
              </w:rPr>
              <w:t>1 .信访举报投诉类申请</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24" w:line="255" w:lineRule="exact"/>
              <w:ind w:left="57"/>
              <w:jc w:val="both"/>
              <w:rPr>
                <w:b/>
                <w:sz w:val="21"/>
              </w:rPr>
            </w:pPr>
            <w:r>
              <w:rPr>
                <w:b/>
                <w:sz w:val="21"/>
              </w:rPr>
              <w:t>2.重复申请</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24" w:line="256" w:lineRule="exact"/>
              <w:ind w:left="57"/>
              <w:jc w:val="both"/>
              <w:rPr>
                <w:b/>
                <w:sz w:val="21"/>
              </w:rPr>
            </w:pPr>
            <w:r>
              <w:rPr>
                <w:b/>
                <w:sz w:val="21"/>
              </w:rPr>
              <w:t>3.要求提供公开出版物</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24" w:line="256" w:lineRule="exact"/>
              <w:ind w:left="57"/>
              <w:jc w:val="both"/>
              <w:rPr>
                <w:b/>
                <w:sz w:val="21"/>
              </w:rPr>
            </w:pPr>
            <w:r>
              <w:rPr>
                <w:b/>
                <w:sz w:val="21"/>
              </w:rPr>
              <w:t>4.无正当理由大量反复申请</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112" w:line="266" w:lineRule="auto"/>
              <w:ind w:left="57" w:right="33"/>
              <w:jc w:val="both"/>
              <w:rPr>
                <w:b/>
                <w:sz w:val="21"/>
              </w:rPr>
            </w:pPr>
            <w:r>
              <w:rPr>
                <w:b/>
                <w:w w:val="95"/>
                <w:sz w:val="21"/>
              </w:rPr>
              <w:t>5.要求行政机关确认或重新出</w:t>
            </w:r>
            <w:r>
              <w:rPr>
                <w:b/>
                <w:sz w:val="21"/>
              </w:rPr>
              <w:t>具已获取信息</w:t>
            </w:r>
          </w:p>
        </w:tc>
        <w:tc>
          <w:tcPr>
            <w:tcW w:w="791"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99"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90"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98"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71"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59"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21"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68" w:type="dxa"/>
            <w:vMerge w:val="continue"/>
            <w:tcBorders>
              <w:top w:val="nil"/>
            </w:tcBorders>
          </w:tcPr>
          <w:p>
            <w:pPr>
              <w:jc w:val="both"/>
              <w:rPr>
                <w:sz w:val="2"/>
                <w:szCs w:val="2"/>
              </w:rPr>
            </w:pPr>
          </w:p>
        </w:tc>
        <w:tc>
          <w:tcPr>
            <w:tcW w:w="942" w:type="dxa"/>
            <w:vMerge w:val="restart"/>
          </w:tcPr>
          <w:p>
            <w:pPr>
              <w:pStyle w:val="6"/>
              <w:jc w:val="both"/>
              <w:rPr>
                <w:rFonts w:ascii="黑体"/>
                <w:b/>
                <w:sz w:val="24"/>
              </w:rPr>
            </w:pPr>
          </w:p>
          <w:p>
            <w:pPr>
              <w:pStyle w:val="6"/>
              <w:jc w:val="both"/>
              <w:rPr>
                <w:rFonts w:ascii="黑体"/>
                <w:b/>
                <w:sz w:val="24"/>
              </w:rPr>
            </w:pPr>
          </w:p>
          <w:p>
            <w:pPr>
              <w:pStyle w:val="6"/>
              <w:spacing w:before="167" w:line="266" w:lineRule="auto"/>
              <w:ind w:left="56" w:right="16"/>
              <w:jc w:val="both"/>
              <w:rPr>
                <w:b/>
                <w:sz w:val="21"/>
              </w:rPr>
            </w:pPr>
            <w:r>
              <w:rPr>
                <w:b/>
                <w:sz w:val="21"/>
              </w:rPr>
              <w:t>（六）其他处理</w:t>
            </w:r>
          </w:p>
        </w:tc>
        <w:tc>
          <w:tcPr>
            <w:tcW w:w="2878" w:type="dxa"/>
          </w:tcPr>
          <w:p>
            <w:pPr>
              <w:pStyle w:val="6"/>
              <w:spacing w:before="24"/>
              <w:ind w:left="57"/>
              <w:jc w:val="both"/>
              <w:rPr>
                <w:b/>
                <w:sz w:val="21"/>
              </w:rPr>
            </w:pPr>
            <w:r>
              <w:rPr>
                <w:b/>
                <w:sz w:val="21"/>
              </w:rPr>
              <w:t>1</w:t>
            </w:r>
            <w:r>
              <w:rPr>
                <w:b/>
                <w:spacing w:val="-8"/>
                <w:sz w:val="21"/>
              </w:rPr>
              <w:t xml:space="preserve"> .申请人无正当理由逾期不补</w:t>
            </w:r>
          </w:p>
          <w:p>
            <w:pPr>
              <w:pStyle w:val="6"/>
              <w:spacing w:line="300" w:lineRule="atLeast"/>
              <w:ind w:left="57" w:right="29"/>
              <w:jc w:val="both"/>
              <w:rPr>
                <w:b/>
                <w:sz w:val="21"/>
              </w:rPr>
            </w:pPr>
            <w:r>
              <w:rPr>
                <w:b/>
                <w:spacing w:val="-16"/>
                <w:w w:val="95"/>
                <w:sz w:val="21"/>
              </w:rPr>
              <w:t>正、行政机关不再处理其政府信</w:t>
            </w:r>
            <w:r>
              <w:rPr>
                <w:b/>
                <w:spacing w:val="-7"/>
                <w:sz w:val="21"/>
              </w:rPr>
              <w:t>息公开申请</w:t>
            </w:r>
          </w:p>
        </w:tc>
        <w:tc>
          <w:tcPr>
            <w:tcW w:w="791"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99"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90"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98"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71"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59"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21"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23"/>
              <w:ind w:left="57"/>
              <w:jc w:val="both"/>
              <w:rPr>
                <w:b/>
                <w:sz w:val="21"/>
              </w:rPr>
            </w:pPr>
            <w:r>
              <w:rPr>
                <w:b/>
                <w:sz w:val="21"/>
              </w:rPr>
              <w:t>2.申请人逾期未按收费通知要</w:t>
            </w:r>
          </w:p>
          <w:p>
            <w:pPr>
              <w:pStyle w:val="6"/>
              <w:spacing w:line="300" w:lineRule="atLeast"/>
              <w:ind w:left="57" w:right="30"/>
              <w:jc w:val="both"/>
              <w:rPr>
                <w:b/>
                <w:sz w:val="21"/>
              </w:rPr>
            </w:pPr>
            <w:r>
              <w:rPr>
                <w:b/>
                <w:spacing w:val="-15"/>
                <w:w w:val="95"/>
                <w:sz w:val="21"/>
              </w:rPr>
              <w:t>求缴纳费用、行政机关不再处理</w:t>
            </w:r>
            <w:r>
              <w:rPr>
                <w:b/>
                <w:spacing w:val="-8"/>
                <w:sz w:val="21"/>
              </w:rPr>
              <w:t>其政府信息公开申请</w:t>
            </w:r>
          </w:p>
        </w:tc>
        <w:tc>
          <w:tcPr>
            <w:tcW w:w="791"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99"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90"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98"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71"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59" w:type="dxa"/>
            <w:vAlign w:val="top"/>
          </w:tcPr>
          <w:p>
            <w:pPr>
              <w:pStyle w:val="6"/>
              <w:ind w:left="0" w:leftChars="0" w:right="0" w:rightChars="0"/>
              <w:jc w:val="center"/>
              <w:rPr>
                <w:rFonts w:ascii="Times New Roman"/>
                <w:sz w:val="26"/>
              </w:rPr>
            </w:pPr>
            <w:r>
              <w:rPr>
                <w:rFonts w:hint="eastAsia" w:ascii="Times New Roman"/>
                <w:b/>
                <w:bCs/>
                <w:sz w:val="26"/>
                <w:lang w:val="en-US" w:eastAsia="zh-CN"/>
              </w:rPr>
              <w:t>0</w:t>
            </w:r>
          </w:p>
        </w:tc>
        <w:tc>
          <w:tcPr>
            <w:tcW w:w="521"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68" w:type="dxa"/>
            <w:vMerge w:val="continue"/>
            <w:tcBorders>
              <w:top w:val="nil"/>
            </w:tcBorders>
          </w:tcPr>
          <w:p>
            <w:pPr>
              <w:jc w:val="both"/>
              <w:rPr>
                <w:sz w:val="2"/>
                <w:szCs w:val="2"/>
              </w:rPr>
            </w:pPr>
          </w:p>
        </w:tc>
        <w:tc>
          <w:tcPr>
            <w:tcW w:w="942" w:type="dxa"/>
            <w:vMerge w:val="continue"/>
            <w:tcBorders>
              <w:top w:val="nil"/>
            </w:tcBorders>
          </w:tcPr>
          <w:p>
            <w:pPr>
              <w:jc w:val="both"/>
              <w:rPr>
                <w:sz w:val="2"/>
                <w:szCs w:val="2"/>
              </w:rPr>
            </w:pPr>
          </w:p>
        </w:tc>
        <w:tc>
          <w:tcPr>
            <w:tcW w:w="2878" w:type="dxa"/>
          </w:tcPr>
          <w:p>
            <w:pPr>
              <w:pStyle w:val="6"/>
              <w:spacing w:before="23" w:line="257" w:lineRule="exact"/>
              <w:ind w:left="57"/>
              <w:jc w:val="both"/>
              <w:rPr>
                <w:b/>
                <w:sz w:val="21"/>
              </w:rPr>
            </w:pPr>
            <w:r>
              <w:rPr>
                <w:b/>
                <w:sz w:val="21"/>
              </w:rPr>
              <w:t>3.其他</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68" w:type="dxa"/>
            <w:vMerge w:val="continue"/>
            <w:tcBorders>
              <w:top w:val="nil"/>
            </w:tcBorders>
          </w:tcPr>
          <w:p>
            <w:pPr>
              <w:jc w:val="both"/>
              <w:rPr>
                <w:sz w:val="2"/>
                <w:szCs w:val="2"/>
              </w:rPr>
            </w:pPr>
          </w:p>
        </w:tc>
        <w:tc>
          <w:tcPr>
            <w:tcW w:w="3820" w:type="dxa"/>
            <w:gridSpan w:val="2"/>
          </w:tcPr>
          <w:p>
            <w:pPr>
              <w:pStyle w:val="6"/>
              <w:spacing w:before="23" w:line="257" w:lineRule="exact"/>
              <w:ind w:left="56"/>
              <w:jc w:val="both"/>
              <w:rPr>
                <w:b/>
                <w:sz w:val="21"/>
              </w:rPr>
            </w:pPr>
            <w:r>
              <w:rPr>
                <w:b/>
                <w:sz w:val="21"/>
              </w:rPr>
              <w:t>（七）总计</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588" w:type="dxa"/>
            <w:gridSpan w:val="3"/>
          </w:tcPr>
          <w:p>
            <w:pPr>
              <w:pStyle w:val="6"/>
              <w:spacing w:before="22" w:line="258" w:lineRule="exact"/>
              <w:ind w:left="56"/>
              <w:jc w:val="both"/>
              <w:rPr>
                <w:b/>
                <w:sz w:val="21"/>
              </w:rPr>
            </w:pPr>
            <w:r>
              <w:rPr>
                <w:b/>
                <w:sz w:val="21"/>
              </w:rPr>
              <w:t>四、结转下年度继续办理</w:t>
            </w:r>
          </w:p>
        </w:tc>
        <w:tc>
          <w:tcPr>
            <w:tcW w:w="79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0"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98"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71"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59" w:type="dxa"/>
            <w:vAlign w:val="top"/>
          </w:tcPr>
          <w:p>
            <w:pPr>
              <w:pStyle w:val="6"/>
              <w:ind w:left="0" w:leftChars="0" w:right="0" w:rightChars="0"/>
              <w:jc w:val="center"/>
              <w:rPr>
                <w:rFonts w:ascii="Times New Roman"/>
                <w:sz w:val="22"/>
              </w:rPr>
            </w:pPr>
            <w:r>
              <w:rPr>
                <w:rFonts w:hint="eastAsia" w:ascii="Times New Roman"/>
                <w:b/>
                <w:bCs/>
                <w:sz w:val="22"/>
                <w:lang w:val="en-US" w:eastAsia="zh-CN"/>
              </w:rPr>
              <w:t>0</w:t>
            </w:r>
          </w:p>
        </w:tc>
        <w:tc>
          <w:tcPr>
            <w:tcW w:w="521" w:type="dxa"/>
          </w:tcPr>
          <w:p>
            <w:pPr>
              <w:pStyle w:val="6"/>
              <w:jc w:val="center"/>
              <w:rPr>
                <w:rFonts w:hint="eastAsia" w:ascii="Times New Roman" w:eastAsia="仿宋"/>
                <w:b/>
                <w:bCs/>
                <w:sz w:val="22"/>
                <w:lang w:val="en-US" w:eastAsia="zh-CN"/>
              </w:rPr>
            </w:pPr>
            <w:r>
              <w:rPr>
                <w:rFonts w:hint="eastAsia" w:ascii="Times New Roman"/>
                <w:b/>
                <w:bCs/>
                <w:sz w:val="22"/>
                <w:lang w:val="en-US" w:eastAsia="zh-CN"/>
              </w:rPr>
              <w:t>0</w:t>
            </w:r>
          </w:p>
        </w:tc>
      </w:tr>
    </w:tbl>
    <w:p>
      <w:pPr>
        <w:pStyle w:val="3"/>
        <w:spacing w:before="1"/>
        <w:ind w:left="0"/>
        <w:jc w:val="both"/>
        <w:rPr>
          <w:rFonts w:ascii="黑体"/>
          <w:sz w:val="7"/>
        </w:rPr>
      </w:pPr>
    </w:p>
    <w:p>
      <w:pPr>
        <w:pStyle w:val="3"/>
        <w:spacing w:before="54" w:after="29"/>
        <w:ind w:left="1130"/>
        <w:jc w:val="both"/>
        <w:rPr>
          <w:rFonts w:hint="eastAsia" w:ascii="黑体" w:eastAsia="黑体"/>
        </w:rPr>
      </w:pPr>
      <w:r>
        <w:rPr>
          <w:rFonts w:hint="eastAsia" w:ascii="黑体" w:eastAsia="黑体"/>
        </w:rPr>
        <w:t>四、政府信息公开行政复议、行政诉讼情况</w:t>
      </w:r>
    </w:p>
    <w:tbl>
      <w:tblPr>
        <w:tblStyle w:val="4"/>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2888" w:type="dxa"/>
            <w:gridSpan w:val="5"/>
          </w:tcPr>
          <w:p>
            <w:pPr>
              <w:pStyle w:val="6"/>
              <w:spacing w:before="62" w:line="258" w:lineRule="exact"/>
              <w:ind w:left="1008" w:right="990"/>
              <w:jc w:val="both"/>
              <w:rPr>
                <w:rFonts w:hint="eastAsia" w:ascii="黑体" w:eastAsia="黑体"/>
                <w:b/>
                <w:bCs/>
                <w:sz w:val="21"/>
              </w:rPr>
            </w:pPr>
            <w:r>
              <w:rPr>
                <w:rFonts w:hint="eastAsia" w:ascii="黑体" w:eastAsia="黑体"/>
                <w:b/>
                <w:bCs/>
                <w:sz w:val="21"/>
              </w:rPr>
              <w:t>行政复议</w:t>
            </w:r>
          </w:p>
        </w:tc>
        <w:tc>
          <w:tcPr>
            <w:tcW w:w="5922" w:type="dxa"/>
            <w:gridSpan w:val="10"/>
          </w:tcPr>
          <w:p>
            <w:pPr>
              <w:pStyle w:val="6"/>
              <w:spacing w:before="62" w:line="258" w:lineRule="exact"/>
              <w:ind w:left="2526" w:right="2505"/>
              <w:jc w:val="both"/>
              <w:rPr>
                <w:rFonts w:hint="eastAsia" w:ascii="黑体" w:eastAsia="黑体"/>
                <w:b/>
                <w:bCs/>
                <w:sz w:val="21"/>
              </w:rPr>
            </w:pPr>
            <w:r>
              <w:rPr>
                <w:rFonts w:hint="eastAsia" w:ascii="黑体" w:eastAsia="黑体"/>
                <w:b/>
                <w:bCs/>
                <w:sz w:val="21"/>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15" w:type="dxa"/>
            <w:vMerge w:val="restart"/>
          </w:tcPr>
          <w:p>
            <w:pPr>
              <w:pStyle w:val="6"/>
              <w:spacing w:before="4"/>
              <w:jc w:val="both"/>
              <w:rPr>
                <w:rFonts w:ascii="黑体"/>
                <w:b/>
                <w:bCs/>
                <w:sz w:val="18"/>
              </w:rPr>
            </w:pPr>
          </w:p>
          <w:p>
            <w:pPr>
              <w:pStyle w:val="6"/>
              <w:spacing w:line="304" w:lineRule="auto"/>
              <w:ind w:left="105" w:right="43"/>
              <w:jc w:val="both"/>
              <w:rPr>
                <w:rFonts w:hint="eastAsia" w:ascii="黑体" w:eastAsia="黑体"/>
                <w:b/>
                <w:bCs/>
                <w:sz w:val="21"/>
              </w:rPr>
            </w:pPr>
            <w:r>
              <w:rPr>
                <w:rFonts w:hint="eastAsia" w:ascii="黑体" w:eastAsia="黑体"/>
                <w:b/>
                <w:bCs/>
                <w:sz w:val="21"/>
              </w:rPr>
              <w:t>结果维持</w:t>
            </w:r>
          </w:p>
        </w:tc>
        <w:tc>
          <w:tcPr>
            <w:tcW w:w="621" w:type="dxa"/>
            <w:vMerge w:val="restart"/>
          </w:tcPr>
          <w:p>
            <w:pPr>
              <w:pStyle w:val="6"/>
              <w:spacing w:before="4"/>
              <w:jc w:val="both"/>
              <w:rPr>
                <w:rFonts w:ascii="黑体"/>
                <w:b/>
                <w:bCs/>
                <w:sz w:val="18"/>
              </w:rPr>
            </w:pPr>
          </w:p>
          <w:p>
            <w:pPr>
              <w:pStyle w:val="6"/>
              <w:spacing w:line="304" w:lineRule="auto"/>
              <w:ind w:left="109" w:right="45"/>
              <w:jc w:val="both"/>
              <w:rPr>
                <w:rFonts w:hint="eastAsia" w:ascii="黑体" w:eastAsia="黑体"/>
                <w:b/>
                <w:bCs/>
                <w:sz w:val="21"/>
              </w:rPr>
            </w:pPr>
            <w:r>
              <w:rPr>
                <w:rFonts w:hint="eastAsia" w:ascii="黑体" w:eastAsia="黑体"/>
                <w:b/>
                <w:bCs/>
                <w:sz w:val="21"/>
              </w:rPr>
              <w:t>结果纠正</w:t>
            </w:r>
          </w:p>
        </w:tc>
        <w:tc>
          <w:tcPr>
            <w:tcW w:w="600" w:type="dxa"/>
            <w:vMerge w:val="restart"/>
          </w:tcPr>
          <w:p>
            <w:pPr>
              <w:pStyle w:val="6"/>
              <w:spacing w:before="4"/>
              <w:jc w:val="both"/>
              <w:rPr>
                <w:rFonts w:ascii="黑体"/>
                <w:b/>
                <w:bCs/>
                <w:sz w:val="18"/>
              </w:rPr>
            </w:pPr>
          </w:p>
          <w:p>
            <w:pPr>
              <w:pStyle w:val="6"/>
              <w:spacing w:line="304" w:lineRule="auto"/>
              <w:ind w:left="98" w:right="36"/>
              <w:jc w:val="both"/>
              <w:rPr>
                <w:rFonts w:hint="eastAsia" w:ascii="黑体" w:eastAsia="黑体"/>
                <w:b/>
                <w:bCs/>
                <w:sz w:val="21"/>
              </w:rPr>
            </w:pPr>
            <w:r>
              <w:rPr>
                <w:rFonts w:hint="eastAsia" w:ascii="黑体" w:eastAsia="黑体"/>
                <w:b/>
                <w:bCs/>
                <w:sz w:val="21"/>
              </w:rPr>
              <w:t>其他结果</w:t>
            </w:r>
          </w:p>
        </w:tc>
        <w:tc>
          <w:tcPr>
            <w:tcW w:w="591" w:type="dxa"/>
            <w:vMerge w:val="restart"/>
          </w:tcPr>
          <w:p>
            <w:pPr>
              <w:pStyle w:val="6"/>
              <w:spacing w:before="4"/>
              <w:jc w:val="both"/>
              <w:rPr>
                <w:rFonts w:ascii="黑体"/>
                <w:b/>
                <w:bCs/>
                <w:sz w:val="18"/>
              </w:rPr>
            </w:pPr>
          </w:p>
          <w:p>
            <w:pPr>
              <w:pStyle w:val="6"/>
              <w:spacing w:line="304" w:lineRule="auto"/>
              <w:ind w:left="93" w:right="34"/>
              <w:jc w:val="both"/>
              <w:rPr>
                <w:rFonts w:hint="eastAsia" w:ascii="黑体" w:eastAsia="黑体"/>
                <w:b/>
                <w:bCs/>
                <w:sz w:val="21"/>
              </w:rPr>
            </w:pPr>
            <w:r>
              <w:rPr>
                <w:rFonts w:hint="eastAsia" w:ascii="黑体" w:eastAsia="黑体"/>
                <w:b/>
                <w:bCs/>
                <w:sz w:val="21"/>
              </w:rPr>
              <w:t>尚未审结</w:t>
            </w:r>
          </w:p>
        </w:tc>
        <w:tc>
          <w:tcPr>
            <w:tcW w:w="461" w:type="dxa"/>
            <w:vMerge w:val="restart"/>
          </w:tcPr>
          <w:p>
            <w:pPr>
              <w:pStyle w:val="6"/>
              <w:spacing w:before="4"/>
              <w:jc w:val="both"/>
              <w:rPr>
                <w:rFonts w:ascii="黑体"/>
                <w:b/>
                <w:bCs/>
                <w:sz w:val="18"/>
              </w:rPr>
            </w:pPr>
          </w:p>
          <w:p>
            <w:pPr>
              <w:pStyle w:val="6"/>
              <w:spacing w:line="304" w:lineRule="auto"/>
              <w:ind w:left="128" w:right="111"/>
              <w:jc w:val="both"/>
              <w:rPr>
                <w:rFonts w:hint="eastAsia" w:ascii="黑体" w:eastAsia="黑体"/>
                <w:b/>
                <w:bCs/>
                <w:sz w:val="21"/>
              </w:rPr>
            </w:pPr>
            <w:r>
              <w:rPr>
                <w:rFonts w:hint="eastAsia" w:ascii="黑体" w:eastAsia="黑体"/>
                <w:b/>
                <w:bCs/>
                <w:sz w:val="21"/>
              </w:rPr>
              <w:t>总计</w:t>
            </w:r>
          </w:p>
        </w:tc>
        <w:tc>
          <w:tcPr>
            <w:tcW w:w="3010" w:type="dxa"/>
            <w:gridSpan w:val="5"/>
          </w:tcPr>
          <w:p>
            <w:pPr>
              <w:pStyle w:val="6"/>
              <w:spacing w:before="60" w:line="260" w:lineRule="exact"/>
              <w:ind w:left="699"/>
              <w:jc w:val="both"/>
              <w:rPr>
                <w:rFonts w:hint="eastAsia" w:ascii="黑体" w:eastAsia="黑体"/>
                <w:b/>
                <w:bCs/>
                <w:sz w:val="21"/>
              </w:rPr>
            </w:pPr>
            <w:r>
              <w:rPr>
                <w:rFonts w:hint="eastAsia" w:ascii="黑体" w:eastAsia="黑体"/>
                <w:b/>
                <w:bCs/>
                <w:sz w:val="21"/>
              </w:rPr>
              <w:t>未经复议直接起诉</w:t>
            </w:r>
          </w:p>
        </w:tc>
        <w:tc>
          <w:tcPr>
            <w:tcW w:w="2912" w:type="dxa"/>
            <w:gridSpan w:val="5"/>
          </w:tcPr>
          <w:p>
            <w:pPr>
              <w:pStyle w:val="6"/>
              <w:spacing w:before="60" w:line="260" w:lineRule="exact"/>
              <w:ind w:left="953"/>
              <w:jc w:val="both"/>
              <w:rPr>
                <w:rFonts w:hint="eastAsia" w:ascii="黑体" w:eastAsia="黑体"/>
                <w:b/>
                <w:bCs/>
                <w:sz w:val="21"/>
              </w:rPr>
            </w:pPr>
            <w:r>
              <w:rPr>
                <w:rFonts w:hint="eastAsia" w:ascii="黑体" w:eastAsia="黑体"/>
                <w:b/>
                <w:bCs/>
                <w:sz w:val="21"/>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15" w:type="dxa"/>
            <w:vMerge w:val="continue"/>
            <w:tcBorders>
              <w:top w:val="nil"/>
            </w:tcBorders>
          </w:tcPr>
          <w:p>
            <w:pPr>
              <w:jc w:val="both"/>
              <w:rPr>
                <w:b/>
                <w:bCs/>
                <w:sz w:val="2"/>
                <w:szCs w:val="2"/>
              </w:rPr>
            </w:pPr>
          </w:p>
        </w:tc>
        <w:tc>
          <w:tcPr>
            <w:tcW w:w="621" w:type="dxa"/>
            <w:vMerge w:val="continue"/>
            <w:tcBorders>
              <w:top w:val="nil"/>
            </w:tcBorders>
          </w:tcPr>
          <w:p>
            <w:pPr>
              <w:jc w:val="both"/>
              <w:rPr>
                <w:b/>
                <w:bCs/>
                <w:sz w:val="2"/>
                <w:szCs w:val="2"/>
              </w:rPr>
            </w:pPr>
          </w:p>
        </w:tc>
        <w:tc>
          <w:tcPr>
            <w:tcW w:w="600" w:type="dxa"/>
            <w:vMerge w:val="continue"/>
            <w:tcBorders>
              <w:top w:val="nil"/>
            </w:tcBorders>
          </w:tcPr>
          <w:p>
            <w:pPr>
              <w:jc w:val="both"/>
              <w:rPr>
                <w:b/>
                <w:bCs/>
                <w:sz w:val="2"/>
                <w:szCs w:val="2"/>
              </w:rPr>
            </w:pPr>
          </w:p>
        </w:tc>
        <w:tc>
          <w:tcPr>
            <w:tcW w:w="591" w:type="dxa"/>
            <w:vMerge w:val="continue"/>
            <w:tcBorders>
              <w:top w:val="nil"/>
            </w:tcBorders>
          </w:tcPr>
          <w:p>
            <w:pPr>
              <w:jc w:val="both"/>
              <w:rPr>
                <w:b/>
                <w:bCs/>
                <w:sz w:val="2"/>
                <w:szCs w:val="2"/>
              </w:rPr>
            </w:pPr>
          </w:p>
        </w:tc>
        <w:tc>
          <w:tcPr>
            <w:tcW w:w="461" w:type="dxa"/>
            <w:vMerge w:val="continue"/>
            <w:tcBorders>
              <w:top w:val="nil"/>
            </w:tcBorders>
          </w:tcPr>
          <w:p>
            <w:pPr>
              <w:jc w:val="both"/>
              <w:rPr>
                <w:b/>
                <w:bCs/>
                <w:sz w:val="2"/>
                <w:szCs w:val="2"/>
              </w:rPr>
            </w:pPr>
          </w:p>
        </w:tc>
        <w:tc>
          <w:tcPr>
            <w:tcW w:w="649" w:type="dxa"/>
          </w:tcPr>
          <w:p>
            <w:pPr>
              <w:pStyle w:val="6"/>
              <w:spacing w:before="60"/>
              <w:ind w:left="123"/>
              <w:jc w:val="both"/>
              <w:rPr>
                <w:rFonts w:hint="eastAsia" w:ascii="黑体" w:eastAsia="黑体"/>
                <w:b/>
                <w:bCs/>
                <w:sz w:val="21"/>
              </w:rPr>
            </w:pPr>
            <w:r>
              <w:rPr>
                <w:rFonts w:hint="eastAsia" w:ascii="黑体" w:eastAsia="黑体"/>
                <w:b/>
                <w:bCs/>
                <w:spacing w:val="-4"/>
                <w:w w:val="95"/>
                <w:sz w:val="21"/>
              </w:rPr>
              <w:t>结果</w:t>
            </w:r>
          </w:p>
          <w:p>
            <w:pPr>
              <w:pStyle w:val="6"/>
              <w:spacing w:before="72" w:line="259" w:lineRule="exact"/>
              <w:ind w:left="123"/>
              <w:jc w:val="both"/>
              <w:rPr>
                <w:rFonts w:hint="eastAsia" w:ascii="黑体" w:eastAsia="黑体"/>
                <w:b/>
                <w:bCs/>
                <w:sz w:val="21"/>
              </w:rPr>
            </w:pPr>
            <w:r>
              <w:rPr>
                <w:rFonts w:hint="eastAsia" w:ascii="黑体" w:eastAsia="黑体"/>
                <w:b/>
                <w:bCs/>
                <w:spacing w:val="-4"/>
                <w:w w:val="95"/>
                <w:sz w:val="21"/>
              </w:rPr>
              <w:t>维持</w:t>
            </w:r>
          </w:p>
        </w:tc>
        <w:tc>
          <w:tcPr>
            <w:tcW w:w="649" w:type="dxa"/>
          </w:tcPr>
          <w:p>
            <w:pPr>
              <w:pStyle w:val="6"/>
              <w:spacing w:before="60"/>
              <w:ind w:left="122"/>
              <w:jc w:val="both"/>
              <w:rPr>
                <w:rFonts w:hint="eastAsia" w:ascii="黑体" w:eastAsia="黑体"/>
                <w:b/>
                <w:bCs/>
                <w:sz w:val="21"/>
              </w:rPr>
            </w:pPr>
            <w:r>
              <w:rPr>
                <w:rFonts w:hint="eastAsia" w:ascii="黑体" w:eastAsia="黑体"/>
                <w:b/>
                <w:bCs/>
                <w:spacing w:val="-4"/>
                <w:w w:val="95"/>
                <w:sz w:val="21"/>
              </w:rPr>
              <w:t>结果</w:t>
            </w:r>
          </w:p>
          <w:p>
            <w:pPr>
              <w:pStyle w:val="6"/>
              <w:spacing w:before="72" w:line="259" w:lineRule="exact"/>
              <w:ind w:left="122"/>
              <w:jc w:val="both"/>
              <w:rPr>
                <w:rFonts w:hint="eastAsia" w:ascii="黑体" w:eastAsia="黑体"/>
                <w:b/>
                <w:bCs/>
                <w:sz w:val="21"/>
              </w:rPr>
            </w:pPr>
            <w:r>
              <w:rPr>
                <w:rFonts w:hint="eastAsia" w:ascii="黑体" w:eastAsia="黑体"/>
                <w:b/>
                <w:bCs/>
                <w:spacing w:val="-4"/>
                <w:w w:val="95"/>
                <w:sz w:val="21"/>
              </w:rPr>
              <w:t>纠正</w:t>
            </w:r>
          </w:p>
        </w:tc>
        <w:tc>
          <w:tcPr>
            <w:tcW w:w="650" w:type="dxa"/>
          </w:tcPr>
          <w:p>
            <w:pPr>
              <w:pStyle w:val="6"/>
              <w:spacing w:before="60"/>
              <w:ind w:left="124"/>
              <w:jc w:val="both"/>
              <w:rPr>
                <w:rFonts w:hint="eastAsia" w:ascii="黑体" w:eastAsia="黑体"/>
                <w:b/>
                <w:bCs/>
                <w:sz w:val="21"/>
              </w:rPr>
            </w:pPr>
            <w:r>
              <w:rPr>
                <w:rFonts w:hint="eastAsia" w:ascii="黑体" w:eastAsia="黑体"/>
                <w:b/>
                <w:bCs/>
                <w:spacing w:val="-4"/>
                <w:w w:val="95"/>
                <w:sz w:val="21"/>
              </w:rPr>
              <w:t>其他</w:t>
            </w:r>
          </w:p>
          <w:p>
            <w:pPr>
              <w:pStyle w:val="6"/>
              <w:spacing w:before="72" w:line="259" w:lineRule="exact"/>
              <w:ind w:left="124"/>
              <w:jc w:val="both"/>
              <w:rPr>
                <w:rFonts w:hint="eastAsia" w:ascii="黑体" w:eastAsia="黑体"/>
                <w:b/>
                <w:bCs/>
                <w:sz w:val="21"/>
              </w:rPr>
            </w:pPr>
            <w:r>
              <w:rPr>
                <w:rFonts w:hint="eastAsia" w:ascii="黑体" w:eastAsia="黑体"/>
                <w:b/>
                <w:bCs/>
                <w:spacing w:val="-4"/>
                <w:w w:val="95"/>
                <w:sz w:val="21"/>
              </w:rPr>
              <w:t>结果</w:t>
            </w:r>
          </w:p>
        </w:tc>
        <w:tc>
          <w:tcPr>
            <w:tcW w:w="636" w:type="dxa"/>
          </w:tcPr>
          <w:p>
            <w:pPr>
              <w:pStyle w:val="6"/>
              <w:spacing w:before="60"/>
              <w:ind w:left="117"/>
              <w:jc w:val="both"/>
              <w:rPr>
                <w:rFonts w:hint="eastAsia" w:ascii="黑体" w:eastAsia="黑体"/>
                <w:b/>
                <w:bCs/>
                <w:sz w:val="21"/>
              </w:rPr>
            </w:pPr>
            <w:r>
              <w:rPr>
                <w:rFonts w:hint="eastAsia" w:ascii="黑体" w:eastAsia="黑体"/>
                <w:b/>
                <w:bCs/>
                <w:spacing w:val="-4"/>
                <w:w w:val="95"/>
                <w:sz w:val="21"/>
              </w:rPr>
              <w:t>尚未</w:t>
            </w:r>
          </w:p>
          <w:p>
            <w:pPr>
              <w:pStyle w:val="6"/>
              <w:spacing w:before="72" w:line="259" w:lineRule="exact"/>
              <w:ind w:left="117"/>
              <w:jc w:val="both"/>
              <w:rPr>
                <w:rFonts w:hint="eastAsia" w:ascii="黑体" w:eastAsia="黑体"/>
                <w:b/>
                <w:bCs/>
                <w:sz w:val="21"/>
              </w:rPr>
            </w:pPr>
            <w:r>
              <w:rPr>
                <w:rFonts w:hint="eastAsia" w:ascii="黑体" w:eastAsia="黑体"/>
                <w:b/>
                <w:bCs/>
                <w:spacing w:val="-4"/>
                <w:w w:val="95"/>
                <w:sz w:val="21"/>
              </w:rPr>
              <w:t>审结</w:t>
            </w:r>
          </w:p>
        </w:tc>
        <w:tc>
          <w:tcPr>
            <w:tcW w:w="426" w:type="dxa"/>
          </w:tcPr>
          <w:p>
            <w:pPr>
              <w:pStyle w:val="6"/>
              <w:spacing w:before="60"/>
              <w:ind w:left="112"/>
              <w:jc w:val="both"/>
              <w:rPr>
                <w:rFonts w:hint="eastAsia" w:ascii="黑体" w:eastAsia="黑体"/>
                <w:b/>
                <w:bCs/>
                <w:sz w:val="21"/>
              </w:rPr>
            </w:pPr>
            <w:r>
              <w:rPr>
                <w:rFonts w:hint="eastAsia" w:ascii="黑体" w:eastAsia="黑体"/>
                <w:b/>
                <w:bCs/>
                <w:w w:val="99"/>
                <w:sz w:val="21"/>
              </w:rPr>
              <w:t>总</w:t>
            </w:r>
          </w:p>
          <w:p>
            <w:pPr>
              <w:pStyle w:val="6"/>
              <w:spacing w:before="72" w:line="259" w:lineRule="exact"/>
              <w:ind w:left="112"/>
              <w:jc w:val="both"/>
              <w:rPr>
                <w:rFonts w:hint="eastAsia" w:ascii="黑体" w:eastAsia="黑体"/>
                <w:b/>
                <w:bCs/>
                <w:sz w:val="21"/>
              </w:rPr>
            </w:pPr>
            <w:r>
              <w:rPr>
                <w:rFonts w:hint="eastAsia" w:ascii="黑体" w:eastAsia="黑体"/>
                <w:b/>
                <w:bCs/>
                <w:w w:val="99"/>
                <w:sz w:val="21"/>
              </w:rPr>
              <w:t>计</w:t>
            </w:r>
          </w:p>
        </w:tc>
        <w:tc>
          <w:tcPr>
            <w:tcW w:w="650" w:type="dxa"/>
          </w:tcPr>
          <w:p>
            <w:pPr>
              <w:pStyle w:val="6"/>
              <w:spacing w:before="60"/>
              <w:ind w:left="123"/>
              <w:jc w:val="both"/>
              <w:rPr>
                <w:rFonts w:hint="eastAsia" w:ascii="黑体" w:eastAsia="黑体"/>
                <w:b/>
                <w:bCs/>
                <w:sz w:val="21"/>
              </w:rPr>
            </w:pPr>
            <w:r>
              <w:rPr>
                <w:rFonts w:hint="eastAsia" w:ascii="黑体" w:eastAsia="黑体"/>
                <w:b/>
                <w:bCs/>
                <w:spacing w:val="-4"/>
                <w:w w:val="95"/>
                <w:sz w:val="21"/>
              </w:rPr>
              <w:t>结果</w:t>
            </w:r>
          </w:p>
          <w:p>
            <w:pPr>
              <w:pStyle w:val="6"/>
              <w:spacing w:before="72" w:line="259" w:lineRule="exact"/>
              <w:ind w:left="123"/>
              <w:jc w:val="both"/>
              <w:rPr>
                <w:rFonts w:hint="eastAsia" w:ascii="黑体" w:eastAsia="黑体"/>
                <w:b/>
                <w:bCs/>
                <w:sz w:val="21"/>
              </w:rPr>
            </w:pPr>
            <w:r>
              <w:rPr>
                <w:rFonts w:hint="eastAsia" w:ascii="黑体" w:eastAsia="黑体"/>
                <w:b/>
                <w:bCs/>
                <w:spacing w:val="-4"/>
                <w:w w:val="95"/>
                <w:sz w:val="21"/>
              </w:rPr>
              <w:t>维持</w:t>
            </w:r>
          </w:p>
        </w:tc>
        <w:tc>
          <w:tcPr>
            <w:tcW w:w="650" w:type="dxa"/>
          </w:tcPr>
          <w:p>
            <w:pPr>
              <w:pStyle w:val="6"/>
              <w:spacing w:before="60"/>
              <w:ind w:left="123"/>
              <w:jc w:val="both"/>
              <w:rPr>
                <w:rFonts w:hint="eastAsia" w:ascii="黑体" w:eastAsia="黑体"/>
                <w:b/>
                <w:bCs/>
                <w:sz w:val="21"/>
              </w:rPr>
            </w:pPr>
            <w:r>
              <w:rPr>
                <w:rFonts w:hint="eastAsia" w:ascii="黑体" w:eastAsia="黑体"/>
                <w:b/>
                <w:bCs/>
                <w:spacing w:val="-4"/>
                <w:w w:val="95"/>
                <w:sz w:val="21"/>
              </w:rPr>
              <w:t>结果</w:t>
            </w:r>
          </w:p>
          <w:p>
            <w:pPr>
              <w:pStyle w:val="6"/>
              <w:spacing w:before="72" w:line="259" w:lineRule="exact"/>
              <w:ind w:left="123"/>
              <w:jc w:val="both"/>
              <w:rPr>
                <w:rFonts w:hint="eastAsia" w:ascii="黑体" w:eastAsia="黑体"/>
                <w:b/>
                <w:bCs/>
                <w:sz w:val="21"/>
              </w:rPr>
            </w:pPr>
            <w:r>
              <w:rPr>
                <w:rFonts w:hint="eastAsia" w:ascii="黑体" w:eastAsia="黑体"/>
                <w:b/>
                <w:bCs/>
                <w:spacing w:val="-4"/>
                <w:w w:val="95"/>
                <w:sz w:val="21"/>
              </w:rPr>
              <w:t>纠正</w:t>
            </w:r>
          </w:p>
        </w:tc>
        <w:tc>
          <w:tcPr>
            <w:tcW w:w="650" w:type="dxa"/>
          </w:tcPr>
          <w:p>
            <w:pPr>
              <w:pStyle w:val="6"/>
              <w:spacing w:before="60"/>
              <w:ind w:left="124"/>
              <w:jc w:val="both"/>
              <w:rPr>
                <w:rFonts w:hint="eastAsia" w:ascii="黑体" w:eastAsia="黑体"/>
                <w:b/>
                <w:bCs/>
                <w:sz w:val="21"/>
              </w:rPr>
            </w:pPr>
            <w:r>
              <w:rPr>
                <w:rFonts w:hint="eastAsia" w:ascii="黑体" w:eastAsia="黑体"/>
                <w:b/>
                <w:bCs/>
                <w:spacing w:val="-4"/>
                <w:w w:val="95"/>
                <w:sz w:val="21"/>
              </w:rPr>
              <w:t>其他</w:t>
            </w:r>
          </w:p>
          <w:p>
            <w:pPr>
              <w:pStyle w:val="6"/>
              <w:spacing w:before="72" w:line="259" w:lineRule="exact"/>
              <w:ind w:left="124"/>
              <w:jc w:val="both"/>
              <w:rPr>
                <w:rFonts w:hint="eastAsia" w:ascii="黑体" w:eastAsia="黑体"/>
                <w:b/>
                <w:bCs/>
                <w:sz w:val="21"/>
              </w:rPr>
            </w:pPr>
            <w:r>
              <w:rPr>
                <w:rFonts w:hint="eastAsia" w:ascii="黑体" w:eastAsia="黑体"/>
                <w:b/>
                <w:bCs/>
                <w:spacing w:val="-4"/>
                <w:w w:val="95"/>
                <w:sz w:val="21"/>
              </w:rPr>
              <w:t>结果</w:t>
            </w:r>
          </w:p>
        </w:tc>
        <w:tc>
          <w:tcPr>
            <w:tcW w:w="555" w:type="dxa"/>
          </w:tcPr>
          <w:p>
            <w:pPr>
              <w:pStyle w:val="6"/>
              <w:spacing w:before="60"/>
              <w:ind w:left="76"/>
              <w:jc w:val="both"/>
              <w:rPr>
                <w:rFonts w:hint="eastAsia" w:ascii="黑体" w:eastAsia="黑体"/>
                <w:b/>
                <w:bCs/>
                <w:sz w:val="21"/>
              </w:rPr>
            </w:pPr>
            <w:r>
              <w:rPr>
                <w:rFonts w:hint="eastAsia" w:ascii="黑体" w:eastAsia="黑体"/>
                <w:b/>
                <w:bCs/>
                <w:spacing w:val="-4"/>
                <w:w w:val="95"/>
                <w:sz w:val="21"/>
              </w:rPr>
              <w:t>尚未</w:t>
            </w:r>
          </w:p>
          <w:p>
            <w:pPr>
              <w:pStyle w:val="6"/>
              <w:spacing w:before="72" w:line="259" w:lineRule="exact"/>
              <w:ind w:left="76"/>
              <w:jc w:val="both"/>
              <w:rPr>
                <w:rFonts w:hint="eastAsia" w:ascii="黑体" w:eastAsia="黑体"/>
                <w:b/>
                <w:bCs/>
                <w:sz w:val="21"/>
              </w:rPr>
            </w:pPr>
            <w:r>
              <w:rPr>
                <w:rFonts w:hint="eastAsia" w:ascii="黑体" w:eastAsia="黑体"/>
                <w:b/>
                <w:bCs/>
                <w:spacing w:val="-4"/>
                <w:w w:val="95"/>
                <w:sz w:val="21"/>
              </w:rPr>
              <w:t>审结</w:t>
            </w:r>
          </w:p>
        </w:tc>
        <w:tc>
          <w:tcPr>
            <w:tcW w:w="407" w:type="dxa"/>
          </w:tcPr>
          <w:p>
            <w:pPr>
              <w:pStyle w:val="6"/>
              <w:spacing w:before="60"/>
              <w:ind w:left="102"/>
              <w:jc w:val="both"/>
              <w:rPr>
                <w:rFonts w:hint="eastAsia" w:ascii="黑体" w:eastAsia="黑体"/>
                <w:b/>
                <w:bCs/>
                <w:sz w:val="21"/>
              </w:rPr>
            </w:pPr>
            <w:r>
              <w:rPr>
                <w:rFonts w:hint="eastAsia" w:ascii="黑体" w:eastAsia="黑体"/>
                <w:b/>
                <w:bCs/>
                <w:w w:val="99"/>
                <w:sz w:val="21"/>
              </w:rPr>
              <w:t>总</w:t>
            </w:r>
          </w:p>
          <w:p>
            <w:pPr>
              <w:pStyle w:val="6"/>
              <w:spacing w:before="72" w:line="259" w:lineRule="exact"/>
              <w:ind w:left="102"/>
              <w:jc w:val="both"/>
              <w:rPr>
                <w:rFonts w:hint="eastAsia" w:ascii="黑体" w:eastAsia="黑体"/>
                <w:b/>
                <w:bCs/>
                <w:sz w:val="21"/>
              </w:rPr>
            </w:pPr>
            <w:r>
              <w:rPr>
                <w:rFonts w:hint="eastAsia" w:ascii="黑体" w:eastAsia="黑体"/>
                <w:b/>
                <w:bCs/>
                <w:w w:val="99"/>
                <w:sz w:val="21"/>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15"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621"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600"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591"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461"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649"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649"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650"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636"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426"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650"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650"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650"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555"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c>
          <w:tcPr>
            <w:tcW w:w="407" w:type="dxa"/>
          </w:tcPr>
          <w:p>
            <w:pPr>
              <w:pStyle w:val="6"/>
              <w:jc w:val="center"/>
              <w:rPr>
                <w:rFonts w:hint="eastAsia" w:ascii="Times New Roman" w:eastAsia="仿宋"/>
                <w:b/>
                <w:bCs/>
                <w:sz w:val="26"/>
                <w:lang w:val="en-US" w:eastAsia="zh-CN"/>
              </w:rPr>
            </w:pPr>
            <w:r>
              <w:rPr>
                <w:rFonts w:hint="eastAsia" w:ascii="Times New Roman"/>
                <w:b/>
                <w:bCs/>
                <w:sz w:val="26"/>
                <w:lang w:val="en-US" w:eastAsia="zh-CN"/>
              </w:rPr>
              <w:t>0</w:t>
            </w:r>
          </w:p>
        </w:tc>
      </w:tr>
    </w:tbl>
    <w:p>
      <w:pPr>
        <w:pStyle w:val="3"/>
        <w:spacing w:before="153"/>
        <w:ind w:left="1130"/>
        <w:jc w:val="both"/>
        <w:rPr>
          <w:rFonts w:hint="eastAsia" w:ascii="黑体" w:eastAsia="黑体"/>
        </w:rPr>
      </w:pPr>
    </w:p>
    <w:p>
      <w:pPr>
        <w:pStyle w:val="3"/>
        <w:spacing w:before="153"/>
        <w:jc w:val="both"/>
        <w:rPr>
          <w:rFonts w:hint="eastAsia" w:ascii="黑体" w:eastAsia="黑体"/>
        </w:rPr>
      </w:pPr>
      <w:r>
        <w:rPr>
          <w:rFonts w:hint="eastAsia" w:ascii="黑体" w:eastAsia="黑体"/>
        </w:rPr>
        <w:t>五、存在的主要问题及改进情况</w:t>
      </w:r>
    </w:p>
    <w:p>
      <w:pPr>
        <w:pStyle w:val="3"/>
        <w:spacing w:before="180" w:line="345" w:lineRule="auto"/>
        <w:ind w:right="737" w:firstLine="621"/>
        <w:jc w:val="both"/>
        <w:rPr>
          <w:rFonts w:hint="eastAsia"/>
          <w:spacing w:val="-11"/>
          <w:w w:val="95"/>
        </w:rPr>
      </w:pPr>
      <w:r>
        <w:rPr>
          <w:rFonts w:hint="eastAsia"/>
          <w:spacing w:val="-11"/>
          <w:w w:val="95"/>
        </w:rPr>
        <w:t>202</w:t>
      </w:r>
      <w:r>
        <w:rPr>
          <w:rFonts w:hint="eastAsia"/>
          <w:spacing w:val="-11"/>
          <w:w w:val="95"/>
          <w:lang w:val="en-US" w:eastAsia="zh-CN"/>
        </w:rPr>
        <w:t>2</w:t>
      </w:r>
      <w:r>
        <w:rPr>
          <w:rFonts w:hint="eastAsia"/>
          <w:spacing w:val="-11"/>
          <w:w w:val="95"/>
        </w:rPr>
        <w:t>年，金融服务中心政务公开工作取得一定成效，但仍存在</w:t>
      </w:r>
      <w:r>
        <w:rPr>
          <w:rFonts w:hint="eastAsia"/>
          <w:spacing w:val="-11"/>
          <w:w w:val="95"/>
          <w:lang w:eastAsia="zh-CN"/>
        </w:rPr>
        <w:t>一些问题，公开形式、内容单一、</w:t>
      </w:r>
      <w:r>
        <w:rPr>
          <w:rFonts w:hint="eastAsia"/>
          <w:spacing w:val="-11"/>
          <w:w w:val="95"/>
        </w:rPr>
        <w:t>公开意识有待提高等相关问题。同时，相关金融监管事项较少，无小额贷款公司、典当行。部分信息公布不够及时，更新较慢。信息质量、数量有待提高。规范性有待完善。</w:t>
      </w:r>
    </w:p>
    <w:p>
      <w:pPr>
        <w:pStyle w:val="3"/>
        <w:spacing w:before="180" w:line="345" w:lineRule="auto"/>
        <w:ind w:right="737" w:firstLine="621"/>
        <w:jc w:val="both"/>
        <w:rPr>
          <w:rFonts w:hint="eastAsia"/>
          <w:spacing w:val="-11"/>
          <w:w w:val="95"/>
          <w:lang w:eastAsia="zh-CN"/>
        </w:rPr>
      </w:pPr>
      <w:r>
        <w:rPr>
          <w:rFonts w:hint="eastAsia"/>
          <w:spacing w:val="-11"/>
          <w:w w:val="95"/>
        </w:rPr>
        <w:t>针对以上问题，</w:t>
      </w:r>
      <w:r>
        <w:rPr>
          <w:rFonts w:hint="eastAsia"/>
          <w:spacing w:val="-11"/>
          <w:w w:val="95"/>
          <w:lang w:eastAsia="zh-CN"/>
        </w:rPr>
        <w:t>县金融服务中心将进一步完善政府信息公开内容，做好各项动态信息的分类，保证信息内容的完整性。充分发挥平台作用，及时和多元化更新，完善信息公开栏。</w:t>
      </w:r>
      <w:r>
        <w:rPr>
          <w:rFonts w:hint="eastAsia"/>
          <w:spacing w:val="-11"/>
          <w:w w:val="95"/>
        </w:rPr>
        <w:t>扎实开展政务公开标准化规范化建设，根据《</w:t>
      </w:r>
      <w:r>
        <w:rPr>
          <w:rFonts w:hint="eastAsia"/>
          <w:spacing w:val="-11"/>
          <w:w w:val="95"/>
          <w:lang w:eastAsia="zh-CN"/>
        </w:rPr>
        <w:t>关于印发</w:t>
      </w:r>
      <w:r>
        <w:rPr>
          <w:rFonts w:hint="eastAsia"/>
          <w:spacing w:val="-11"/>
          <w:w w:val="95"/>
          <w:lang w:val="en-US" w:eastAsia="zh-CN"/>
        </w:rPr>
        <w:t>2022年微山县政务公开工作任务分解表的通知</w:t>
      </w:r>
      <w:r>
        <w:rPr>
          <w:rFonts w:hint="eastAsia"/>
          <w:spacing w:val="-11"/>
          <w:w w:val="95"/>
        </w:rPr>
        <w:t>》强化组织保障，围绕政务公开重点任务，加强机构建设。提高公开质量，及时更新主动公开目录。优化办理流程，规范答复格式</w:t>
      </w:r>
      <w:r>
        <w:rPr>
          <w:rFonts w:hint="eastAsia"/>
          <w:spacing w:val="-11"/>
          <w:w w:val="95"/>
          <w:lang w:eastAsia="zh-CN"/>
        </w:rPr>
        <w:t>，</w:t>
      </w:r>
      <w:r>
        <w:rPr>
          <w:rFonts w:hint="eastAsia"/>
          <w:spacing w:val="-11"/>
          <w:w w:val="95"/>
        </w:rPr>
        <w:t>认真贯彻落实《中华人民共和国政府信息公开条例》</w:t>
      </w:r>
      <w:r>
        <w:rPr>
          <w:rFonts w:hint="eastAsia"/>
          <w:spacing w:val="-11"/>
          <w:w w:val="95"/>
          <w:lang w:eastAsia="zh-CN"/>
        </w:rPr>
        <w:t>。</w:t>
      </w:r>
    </w:p>
    <w:p>
      <w:pPr>
        <w:pStyle w:val="3"/>
        <w:spacing w:before="180" w:line="345" w:lineRule="auto"/>
        <w:ind w:right="737" w:firstLine="621"/>
        <w:jc w:val="both"/>
        <w:rPr>
          <w:rFonts w:hint="eastAsia"/>
          <w:spacing w:val="-11"/>
          <w:w w:val="95"/>
          <w:lang w:eastAsia="zh-CN"/>
        </w:rPr>
      </w:pPr>
      <w:r>
        <w:rPr>
          <w:rFonts w:hint="eastAsia"/>
          <w:spacing w:val="-11"/>
          <w:w w:val="95"/>
          <w:lang w:eastAsia="zh-CN"/>
        </w:rPr>
        <w:t>其他需要报告的事项</w:t>
      </w:r>
    </w:p>
    <w:p>
      <w:pPr>
        <w:pStyle w:val="3"/>
        <w:spacing w:before="180" w:line="345" w:lineRule="auto"/>
        <w:ind w:right="737" w:firstLine="621"/>
        <w:jc w:val="both"/>
        <w:rPr>
          <w:rFonts w:hint="eastAsia"/>
          <w:spacing w:val="-11"/>
          <w:w w:val="95"/>
          <w:lang w:eastAsia="zh-CN"/>
        </w:rPr>
      </w:pPr>
      <w:r>
        <w:rPr>
          <w:rFonts w:hint="eastAsia"/>
          <w:spacing w:val="-11"/>
          <w:w w:val="95"/>
          <w:lang w:eastAsia="zh-CN"/>
        </w:rPr>
        <w:t>（一）本年度金融服务中心信息处理费收取金额为0。</w:t>
      </w:r>
    </w:p>
    <w:p>
      <w:pPr>
        <w:pStyle w:val="3"/>
        <w:spacing w:before="180" w:line="345" w:lineRule="auto"/>
        <w:ind w:right="737" w:firstLine="621"/>
        <w:jc w:val="both"/>
        <w:rPr>
          <w:rFonts w:hint="eastAsia"/>
          <w:spacing w:val="-11"/>
          <w:w w:val="95"/>
          <w:lang w:eastAsia="zh-CN"/>
        </w:rPr>
      </w:pPr>
      <w:r>
        <w:rPr>
          <w:rFonts w:hint="eastAsia"/>
          <w:spacing w:val="-11"/>
          <w:w w:val="95"/>
          <w:lang w:eastAsia="zh-CN"/>
        </w:rPr>
        <w:t>（二）2022年以来，根据上级政务公开工作要点及本单位工作实际情况，及时更新网络板块、栏目，完善政务公开工作机制，确保政务公开工作落到实处。</w:t>
      </w:r>
    </w:p>
    <w:p>
      <w:pPr>
        <w:pStyle w:val="3"/>
        <w:spacing w:before="180" w:line="345" w:lineRule="auto"/>
        <w:ind w:right="737" w:firstLine="621"/>
        <w:jc w:val="both"/>
        <w:rPr>
          <w:rFonts w:hint="eastAsia"/>
          <w:spacing w:val="-11"/>
          <w:w w:val="95"/>
          <w:lang w:eastAsia="zh-CN"/>
        </w:rPr>
      </w:pPr>
      <w:r>
        <w:rPr>
          <w:rFonts w:hint="eastAsia"/>
          <w:spacing w:val="-11"/>
          <w:w w:val="95"/>
          <w:lang w:eastAsia="zh-CN"/>
        </w:rPr>
        <w:t>（三）2022年微山县金融服务中心共收到人大建议7条，政协提案3条，分别为：对县十九届人大一次会议第191011号建议；对县十九届人大一次会议第191018号建议；对县十九届人大一次会议第191055号建议；对县十九届人大一次会议第191056号建议；对县十九届人大一次会议第191059号建议；对县十九届人大一次会议第191092号建议；对县十九届人大一次会议第191094号建议；对县政协十一届一次会议第116号。所有提案均在规定期限内办理回复完毕，办付率100%，满意和基本满意率100%。</w:t>
      </w:r>
    </w:p>
    <w:p>
      <w:pPr>
        <w:pStyle w:val="3"/>
        <w:spacing w:before="180" w:line="345" w:lineRule="auto"/>
        <w:ind w:right="737" w:firstLine="621"/>
        <w:jc w:val="both"/>
        <w:rPr>
          <w:rFonts w:hint="eastAsia"/>
          <w:spacing w:val="-11"/>
          <w:w w:val="95"/>
          <w:lang w:val="en-US" w:eastAsia="zh-CN"/>
        </w:rPr>
      </w:pPr>
      <w:r>
        <w:rPr>
          <w:rFonts w:hint="eastAsia"/>
          <w:spacing w:val="-11"/>
          <w:w w:val="95"/>
          <w:lang w:val="en-US" w:eastAsia="zh-CN"/>
        </w:rPr>
        <w:t>（四）年度政务公开工作创新情况：无。</w:t>
      </w:r>
    </w:p>
    <w:p>
      <w:pPr>
        <w:pStyle w:val="3"/>
        <w:spacing w:before="180" w:line="345" w:lineRule="auto"/>
        <w:ind w:right="737" w:firstLine="621"/>
        <w:jc w:val="both"/>
        <w:rPr>
          <w:rFonts w:hint="eastAsia"/>
          <w:spacing w:val="-11"/>
          <w:w w:val="95"/>
          <w:lang w:val="en-US" w:eastAsia="zh-CN"/>
        </w:rPr>
      </w:pPr>
      <w:r>
        <w:rPr>
          <w:rFonts w:hint="eastAsia"/>
          <w:spacing w:val="-11"/>
          <w:w w:val="95"/>
          <w:lang w:val="en-US" w:eastAsia="zh-CN"/>
        </w:rPr>
        <w:t>（五）政府信息公开工作年度报告数据统计需要说明的事项：无。</w:t>
      </w:r>
    </w:p>
    <w:p>
      <w:pPr>
        <w:pStyle w:val="3"/>
        <w:spacing w:before="180" w:line="345" w:lineRule="auto"/>
        <w:ind w:right="737" w:firstLine="621"/>
        <w:jc w:val="both"/>
        <w:rPr>
          <w:rFonts w:hint="eastAsia"/>
          <w:spacing w:val="-11"/>
          <w:w w:val="95"/>
          <w:lang w:val="en-US" w:eastAsia="zh-CN"/>
        </w:rPr>
      </w:pPr>
      <w:r>
        <w:rPr>
          <w:rFonts w:hint="eastAsia"/>
          <w:spacing w:val="-11"/>
          <w:w w:val="95"/>
          <w:lang w:val="en-US" w:eastAsia="zh-CN"/>
        </w:rPr>
        <w:t>（六）需要报告的其他事项：无。</w:t>
      </w:r>
    </w:p>
    <w:p>
      <w:pPr>
        <w:pStyle w:val="3"/>
        <w:spacing w:before="180" w:line="345" w:lineRule="auto"/>
        <w:ind w:right="737" w:firstLine="621"/>
        <w:jc w:val="both"/>
        <w:rPr>
          <w:lang w:val="en-US" w:eastAsia="zh-CN"/>
        </w:rPr>
      </w:pPr>
      <w:r>
        <w:rPr>
          <w:rFonts w:hint="eastAsia"/>
          <w:spacing w:val="-11"/>
          <w:w w:val="95"/>
          <w:lang w:val="en-US" w:eastAsia="zh-CN"/>
        </w:rPr>
        <w:t>（七）其他有关文件专门要求通过政府信息公开工作年度报告予以报告的事项：无。</w:t>
      </w:r>
    </w:p>
    <w:sectPr>
      <w:footerReference r:id="rId5" w:type="default"/>
      <w:pgSz w:w="11906" w:h="16838"/>
      <w:pgMar w:top="1417" w:right="1474" w:bottom="1417"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b w:val="0"/>
        <w:sz w:val="20"/>
      </w:rPr>
    </w:pPr>
    <w:r>
      <mc:AlternateContent>
        <mc:Choice Requires="wps">
          <w:drawing>
            <wp:anchor distT="0" distB="0" distL="114300" distR="114300" simplePos="0" relativeHeight="251659264" behindDoc="1" locked="0" layoutInCell="1" allowOverlap="1">
              <wp:simplePos x="0" y="0"/>
              <wp:positionH relativeFrom="page">
                <wp:posOffset>5855970</wp:posOffset>
              </wp:positionH>
              <wp:positionV relativeFrom="page">
                <wp:posOffset>9483725</wp:posOffset>
              </wp:positionV>
              <wp:extent cx="601345" cy="229235"/>
              <wp:effectExtent l="0" t="0" r="0" b="0"/>
              <wp:wrapNone/>
              <wp:docPr id="12" name="文本框 4"/>
              <wp:cNvGraphicFramePr/>
              <a:graphic xmlns:a="http://schemas.openxmlformats.org/drawingml/2006/main">
                <a:graphicData uri="http://schemas.microsoft.com/office/word/2010/wordprocessingShape">
                  <wps:wsp>
                    <wps:cNvSpPr txBox="1"/>
                    <wps:spPr>
                      <a:xfrm>
                        <a:off x="0" y="0"/>
                        <a:ext cx="601345" cy="229235"/>
                      </a:xfrm>
                      <a:prstGeom prst="rect">
                        <a:avLst/>
                      </a:prstGeom>
                      <a:noFill/>
                      <a:ln>
                        <a:noFill/>
                      </a:ln>
                    </wps:spPr>
                    <wps:txbx>
                      <w:txbxContent>
                        <w:p>
                          <w:pPr>
                            <w:spacing w:before="0" w:line="340" w:lineRule="exact"/>
                            <w:ind w:left="20" w:right="0" w:firstLine="0"/>
                            <w:jc w:val="left"/>
                            <w:rPr>
                              <w:rFonts w:ascii="宋体"/>
                              <w:b/>
                              <w:sz w:val="28"/>
                            </w:rPr>
                          </w:pPr>
                          <w:r>
                            <w:rPr>
                              <w:rFonts w:ascii="宋体"/>
                              <w:b/>
                              <w:sz w:val="28"/>
                            </w:rPr>
                            <w:t xml:space="preserve">- </w:t>
                          </w:r>
                          <w:r>
                            <w:fldChar w:fldCharType="begin"/>
                          </w:r>
                          <w:r>
                            <w:rPr>
                              <w:rFonts w:ascii="宋体"/>
                              <w:b/>
                              <w:sz w:val="28"/>
                            </w:rPr>
                            <w:instrText xml:space="preserve"> PAGE </w:instrText>
                          </w:r>
                          <w:r>
                            <w:fldChar w:fldCharType="separate"/>
                          </w:r>
                          <w:r>
                            <w:t>11</w:t>
                          </w:r>
                          <w:r>
                            <w:fldChar w:fldCharType="end"/>
                          </w:r>
                          <w:r>
                            <w:rPr>
                              <w:rFonts w:ascii="宋体"/>
                              <w:b/>
                              <w:sz w:val="28"/>
                            </w:rPr>
                            <w:t xml:space="preserve"> -</w:t>
                          </w:r>
                        </w:p>
                      </w:txbxContent>
                    </wps:txbx>
                    <wps:bodyPr lIns="0" tIns="0" rIns="0" bIns="0" upright="1"/>
                  </wps:wsp>
                </a:graphicData>
              </a:graphic>
            </wp:anchor>
          </w:drawing>
        </mc:Choice>
        <mc:Fallback>
          <w:pict>
            <v:shape id="文本框 4" o:spid="_x0000_s1026" o:spt="202" type="#_x0000_t202" style="position:absolute;left:0pt;margin-left:461.1pt;margin-top:746.75pt;height:18.05pt;width:47.35pt;mso-position-horizontal-relative:page;mso-position-vertical-relative:page;z-index:-251657216;mso-width-relative:page;mso-height-relative:page;" filled="f" stroked="f" coordsize="21600,21600" o:gfxdata="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SOkD2wAAAA4BAAAPAAAAAAAAAAEAIAAAACIAAABkcnMvZG93bnJldi54bWxQ&#10;SwECFAAUAAAACACHTuJAXZp6k7sBAAByAwAADgAAAAAAAAABACAAAAAqAQAAZHJzL2Uyb0RvYy54&#10;bWxQSwUGAAAAAAYABgBZAQAAVwUAAAAA&#10;">
              <v:fill on="f" focussize="0,0"/>
              <v:stroke on="f"/>
              <v:imagedata o:title=""/>
              <o:lock v:ext="edit" aspectratio="f"/>
              <v:textbox inset="0mm,0mm,0mm,0mm">
                <w:txbxContent>
                  <w:p>
                    <w:pPr>
                      <w:spacing w:before="0" w:line="340" w:lineRule="exact"/>
                      <w:ind w:left="20" w:right="0" w:firstLine="0"/>
                      <w:jc w:val="left"/>
                      <w:rPr>
                        <w:rFonts w:ascii="宋体"/>
                        <w:b/>
                        <w:sz w:val="28"/>
                      </w:rPr>
                    </w:pPr>
                    <w:r>
                      <w:rPr>
                        <w:rFonts w:ascii="宋体"/>
                        <w:b/>
                        <w:sz w:val="28"/>
                      </w:rPr>
                      <w:t xml:space="preserve">- </w:t>
                    </w:r>
                    <w:r>
                      <w:fldChar w:fldCharType="begin"/>
                    </w:r>
                    <w:r>
                      <w:rPr>
                        <w:rFonts w:ascii="宋体"/>
                        <w:b/>
                        <w:sz w:val="28"/>
                      </w:rPr>
                      <w:instrText xml:space="preserve"> PAGE </w:instrText>
                    </w:r>
                    <w:r>
                      <w:fldChar w:fldCharType="separate"/>
                    </w:r>
                    <w:r>
                      <w:t>11</w:t>
                    </w:r>
                    <w:r>
                      <w:fldChar w:fldCharType="end"/>
                    </w:r>
                    <w:r>
                      <w:rPr>
                        <w:rFonts w:ascii="宋体"/>
                        <w:b/>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YjQ4MjE3OWFjYjVhMzVlM2UxMzAzNzJiMDEyNWYifQ=="/>
  </w:docVars>
  <w:rsids>
    <w:rsidRoot w:val="6574208C"/>
    <w:rsid w:val="4F1A08F9"/>
    <w:rsid w:val="6574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ind w:left="-3" w:right="915"/>
      <w:outlineLvl w:val="1"/>
    </w:pPr>
    <w:rPr>
      <w:rFonts w:ascii="微软雅黑" w:hAnsi="微软雅黑" w:eastAsia="微软雅黑" w:cs="微软雅黑"/>
      <w:b/>
      <w:bCs/>
      <w:sz w:val="44"/>
      <w:szCs w:val="4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08"/>
    </w:pPr>
    <w:rPr>
      <w:rFonts w:ascii="仿宋" w:hAnsi="仿宋" w:eastAsia="仿宋" w:cs="仿宋"/>
      <w:b/>
      <w:bCs/>
      <w:sz w:val="32"/>
      <w:szCs w:val="32"/>
      <w:lang w:val="en-US" w:eastAsia="zh-CN" w:bidi="ar-SA"/>
    </w:rPr>
  </w:style>
  <w:style w:type="paragraph" w:customStyle="1" w:styleId="6">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en-US" altLang="zh-CN" sz="1600"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2022</a:t>
            </a:r>
            <a:r>
              <a:rPr altLang="en-US" sz="1600"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年县金融服务中心主动公开情况</a:t>
            </a:r>
            <a:endParaRPr altLang="en-US" sz="1600"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layout/>
      <c:overlay val="0"/>
      <c:spPr>
        <a:noFill/>
        <a:ln>
          <a:noFill/>
        </a:ln>
        <a:effectLst/>
      </c:spPr>
    </c:title>
    <c:autoTitleDeleted val="0"/>
    <c:plotArea>
      <c:layout/>
      <c:pieChart>
        <c:varyColors val="1"/>
        <c:ser>
          <c:idx val="0"/>
          <c:order val="0"/>
          <c:tx>
            <c:strRef>
              <c:f>Sheet1!$B$1</c:f>
              <c:strCache>
                <c:ptCount val="1"/>
                <c:pt idx="0">
                  <c:v>2022年县金融服务中心主动公开情况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全年累计主动公开政府信息</c:v>
                </c:pt>
                <c:pt idx="1">
                  <c:v>主动公开规范性文件信息</c:v>
                </c:pt>
                <c:pt idx="2">
                  <c:v>政府网站公开政府信息数</c:v>
                </c:pt>
                <c:pt idx="3">
                  <c:v>政务微信公开政府信息数</c:v>
                </c:pt>
              </c:strCache>
            </c:strRef>
          </c:cat>
          <c:val>
            <c:numRef>
              <c:f>Sheet1!$B$2:$B$5</c:f>
              <c:numCache>
                <c:formatCode>General</c:formatCode>
                <c:ptCount val="4"/>
                <c:pt idx="0">
                  <c:v>7</c:v>
                </c:pt>
                <c:pt idx="1">
                  <c:v>7</c:v>
                </c:pt>
                <c:pt idx="2">
                  <c:v>7</c:v>
                </c:pt>
                <c:pt idx="3">
                  <c:v>10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2535</Words>
  <Characters>2663</Characters>
  <Lines>0</Lines>
  <Paragraphs>0</Paragraphs>
  <TotalTime>8</TotalTime>
  <ScaleCrop>false</ScaleCrop>
  <LinksUpToDate>false</LinksUpToDate>
  <CharactersWithSpaces>2682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2023-02-08T09:10:00Z</dcterms:created>
  <dc:creator>.</dc:creator>
  <cp:lastModifiedBy>.</cp:lastModifiedBy>
  <dcterms:modified xsi:type="dcterms:W3CDTF">2023-02-08T09:20:35Z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F5BAFCA4814E42A29ACCCCF99BC628AA</vt:lpwstr>
  </property>
</Properties>
</file>