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50" w:rsidRDefault="00685D9E">
      <w:pPr>
        <w:pStyle w:val="a3"/>
        <w:widowControl/>
        <w:shd w:val="clear" w:color="auto" w:fill="FFFFFF"/>
        <w:spacing w:beforeAutospacing="0" w:afterAutospacing="0" w:line="600" w:lineRule="atLeast"/>
        <w:jc w:val="center"/>
        <w:rPr>
          <w:rFonts w:ascii="sans-serif" w:eastAsia="sans-serif" w:hAnsi="sans-serif" w:cs="sans-serif"/>
          <w:color w:val="000000"/>
        </w:rPr>
      </w:pPr>
      <w:r>
        <w:rPr>
          <w:rFonts w:ascii="宋体" w:eastAsia="宋体" w:hAnsi="宋体" w:cs="宋体" w:hint="eastAsia"/>
          <w:color w:val="000000"/>
          <w:sz w:val="43"/>
          <w:szCs w:val="43"/>
          <w:shd w:val="clear" w:color="auto" w:fill="FFFFFF"/>
        </w:rPr>
        <w:t>微山县公安局</w:t>
      </w:r>
    </w:p>
    <w:p w:rsidR="00A30650" w:rsidRDefault="00685D9E">
      <w:pPr>
        <w:pStyle w:val="a3"/>
        <w:widowControl/>
        <w:shd w:val="clear" w:color="auto" w:fill="FFFFFF"/>
        <w:spacing w:beforeAutospacing="0" w:afterAutospacing="0" w:line="600" w:lineRule="atLeast"/>
        <w:jc w:val="center"/>
        <w:rPr>
          <w:rFonts w:ascii="sans-serif" w:eastAsia="sans-serif" w:hAnsi="sans-serif" w:cs="sans-serif"/>
          <w:color w:val="000000"/>
        </w:rPr>
      </w:pPr>
      <w:r>
        <w:rPr>
          <w:rFonts w:ascii="宋体" w:eastAsia="宋体" w:hAnsi="宋体" w:cs="宋体" w:hint="eastAsia"/>
          <w:color w:val="000000"/>
          <w:sz w:val="43"/>
          <w:szCs w:val="43"/>
          <w:shd w:val="clear" w:color="auto" w:fill="FFFFFF"/>
        </w:rPr>
        <w:t>2020年政府信息公开工作年度报告</w:t>
      </w:r>
    </w:p>
    <w:p w:rsidR="00A30650" w:rsidRDefault="00685D9E">
      <w:pPr>
        <w:pStyle w:val="a3"/>
        <w:widowControl/>
        <w:shd w:val="clear" w:color="auto" w:fill="FFFFFF"/>
        <w:spacing w:beforeAutospacing="0" w:afterAutospacing="0" w:line="600" w:lineRule="atLeast"/>
        <w:ind w:firstLine="885"/>
        <w:jc w:val="both"/>
        <w:rPr>
          <w:rFonts w:ascii="sans-serif" w:eastAsia="sans-serif" w:hAnsi="sans-serif" w:cs="sans-serif"/>
          <w:color w:val="000000"/>
        </w:rPr>
      </w:pPr>
      <w:r>
        <w:rPr>
          <w:rStyle w:val="a4"/>
          <w:rFonts w:ascii="文星简大标宋" w:eastAsia="文星简大标宋" w:hAnsi="文星简大标宋" w:cs="文星简大标宋"/>
          <w:color w:val="000000"/>
          <w:sz w:val="43"/>
          <w:szCs w:val="43"/>
          <w:shd w:val="clear" w:color="auto" w:fill="FFFFFF"/>
        </w:rPr>
        <w:t> </w:t>
      </w:r>
    </w:p>
    <w:p w:rsidR="00A30650" w:rsidRDefault="00685D9E">
      <w:pPr>
        <w:pStyle w:val="a3"/>
        <w:widowControl/>
        <w:shd w:val="clear" w:color="auto" w:fill="FFFFFF"/>
        <w:spacing w:beforeAutospacing="0" w:afterAutospacing="0" w:line="600" w:lineRule="atLeast"/>
        <w:ind w:firstLine="420"/>
        <w:jc w:val="both"/>
        <w:rPr>
          <w:rFonts w:ascii="sans-serif" w:eastAsia="sans-serif" w:hAnsi="sans-serif" w:cs="sans-serif"/>
          <w:color w:val="000000"/>
        </w:rPr>
      </w:pPr>
      <w:r>
        <w:rPr>
          <w:rFonts w:ascii="黑体" w:eastAsia="黑体" w:hAnsi="宋体" w:cs="黑体"/>
          <w:color w:val="000000"/>
          <w:sz w:val="31"/>
          <w:szCs w:val="31"/>
          <w:shd w:val="clear" w:color="auto" w:fill="FFFFFF"/>
        </w:rPr>
        <w:t>一、总体情况</w:t>
      </w:r>
    </w:p>
    <w:p w:rsidR="00A30650" w:rsidRDefault="00685D9E">
      <w:pPr>
        <w:pStyle w:val="a3"/>
        <w:widowControl/>
        <w:shd w:val="clear" w:color="auto" w:fill="FFFFFF"/>
        <w:spacing w:beforeAutospacing="0" w:afterAutospacing="0" w:line="600" w:lineRule="atLeast"/>
        <w:ind w:firstLine="315"/>
        <w:jc w:val="both"/>
        <w:rPr>
          <w:rFonts w:ascii="sans-serif" w:eastAsia="sans-serif" w:hAnsi="sans-serif" w:cs="sans-serif"/>
          <w:color w:val="000000"/>
        </w:rPr>
      </w:pPr>
      <w:r>
        <w:rPr>
          <w:rFonts w:ascii="仿宋_GB2312" w:eastAsia="仿宋_GB2312" w:hAnsi="sans-serif" w:cs="仿宋_GB2312"/>
          <w:color w:val="000000"/>
          <w:sz w:val="31"/>
          <w:szCs w:val="31"/>
          <w:shd w:val="clear" w:color="auto" w:fill="FFFFFF"/>
        </w:rPr>
        <w:t>2020年，县公安局以习近平新时代中国特色社会主义思想为指导，深入学习贯彻党的十九大精神，紧紧围绕全面推进依法治国对政府信息公开工作提出的新要求，根据《中华人民共和国政府信息公开条例》，认真落实国家、省、市政务公开工作一系列部署，结合公安工作实际，坚持以公开为常态、不公开为例外，加强组织领导，创新工作思路，拓宽形式载体，全面推进决策、执行、管理、服务、结果</w:t>
      </w:r>
      <w:r>
        <w:rPr>
          <w:rFonts w:ascii="仿宋_GB2312" w:eastAsia="仿宋_GB2312" w:hAnsi="sans-serif" w:cs="仿宋_GB2312"/>
          <w:color w:val="000000"/>
          <w:sz w:val="31"/>
          <w:szCs w:val="31"/>
          <w:shd w:val="clear" w:color="auto" w:fill="FFFFFF"/>
        </w:rPr>
        <w:t>“</w:t>
      </w:r>
      <w:r>
        <w:rPr>
          <w:rFonts w:ascii="仿宋_GB2312" w:eastAsia="仿宋_GB2312" w:hAnsi="sans-serif" w:cs="仿宋_GB2312"/>
          <w:color w:val="000000"/>
          <w:sz w:val="31"/>
          <w:szCs w:val="31"/>
          <w:shd w:val="clear" w:color="auto" w:fill="FFFFFF"/>
        </w:rPr>
        <w:t>五公开</w:t>
      </w:r>
      <w:r>
        <w:rPr>
          <w:rFonts w:ascii="仿宋_GB2312" w:eastAsia="仿宋_GB2312" w:hAnsi="sans-serif" w:cs="仿宋_GB2312"/>
          <w:color w:val="000000"/>
          <w:sz w:val="31"/>
          <w:szCs w:val="31"/>
          <w:shd w:val="clear" w:color="auto" w:fill="FFFFFF"/>
        </w:rPr>
        <w:t>”</w:t>
      </w:r>
      <w:r>
        <w:rPr>
          <w:rFonts w:ascii="仿宋_GB2312" w:eastAsia="仿宋_GB2312" w:hAnsi="sans-serif" w:cs="仿宋_GB2312"/>
          <w:color w:val="000000"/>
          <w:sz w:val="31"/>
          <w:szCs w:val="31"/>
          <w:shd w:val="clear" w:color="auto" w:fill="FFFFFF"/>
        </w:rPr>
        <w:t>，最大限度地保障了群众的知情权、参与权和监督权，有力地推动了各项公安工作和队伍建设发展。</w:t>
      </w:r>
      <w:r>
        <w:rPr>
          <w:rFonts w:ascii="楷体_GB2312" w:eastAsia="楷体_GB2312" w:hAnsi="sans-serif" w:cs="楷体_GB2312"/>
          <w:color w:val="000000"/>
          <w:sz w:val="31"/>
          <w:szCs w:val="31"/>
          <w:shd w:val="clear" w:color="auto" w:fill="FFFFFF"/>
        </w:rPr>
        <w:t>一是</w:t>
      </w:r>
      <w:r>
        <w:rPr>
          <w:rFonts w:ascii="楷体_GB2312" w:eastAsia="楷体_GB2312" w:hAnsi="sans-serif" w:cs="楷体_GB2312" w:hint="eastAsia"/>
          <w:color w:val="000000"/>
          <w:sz w:val="31"/>
          <w:szCs w:val="31"/>
          <w:shd w:val="clear" w:color="auto" w:fill="FFFFFF"/>
        </w:rPr>
        <w:t>领导高度重视。</w:t>
      </w:r>
      <w:r>
        <w:rPr>
          <w:rFonts w:ascii="仿宋_GB2312" w:eastAsia="仿宋_GB2312" w:hAnsi="sans-serif" w:cs="仿宋_GB2312" w:hint="eastAsia"/>
          <w:color w:val="000000"/>
          <w:sz w:val="31"/>
          <w:szCs w:val="31"/>
          <w:shd w:val="clear" w:color="auto" w:fill="FFFFFF"/>
        </w:rPr>
        <w:t>县局党委高度重视，多次召开会议听取政务公开工作情况汇报，研究安排意见措施。主要负责同志多次主持召开会议专题研究解决政府信息公开工作问题，并亲自督促抓落实，及时调整政务公开工作领导小组及办公室人员，进一步明确各警种单位主要负责同志为政务公开“第一责任人”的责任，形成领导重视支持、办公室牵头组织、警种积极参与齐抓共管的工作格局。</w:t>
      </w:r>
      <w:r>
        <w:rPr>
          <w:rFonts w:ascii="楷体_GB2312" w:eastAsia="楷体_GB2312" w:hAnsi="sans-serif" w:cs="楷体_GB2312" w:hint="eastAsia"/>
          <w:color w:val="000000"/>
          <w:sz w:val="31"/>
          <w:szCs w:val="31"/>
          <w:shd w:val="clear" w:color="auto" w:fill="FFFFFF"/>
        </w:rPr>
        <w:t>二是加强制度建设。</w:t>
      </w:r>
      <w:r>
        <w:rPr>
          <w:rFonts w:ascii="仿宋_GB2312" w:eastAsia="仿宋_GB2312" w:hAnsi="sans-serif" w:cs="仿宋_GB2312" w:hint="eastAsia"/>
          <w:color w:val="000000"/>
          <w:sz w:val="31"/>
          <w:szCs w:val="31"/>
          <w:shd w:val="clear" w:color="auto" w:fill="FFFFFF"/>
        </w:rPr>
        <w:t>修改完善系列公开制度，对各警种政务公开工作任务进行细化，明确工作时限和要求，确保政务公开工作制度化、规范化。</w:t>
      </w:r>
      <w:r>
        <w:rPr>
          <w:rFonts w:ascii="楷体_GB2312" w:eastAsia="楷体_GB2312" w:hAnsi="sans-serif" w:cs="楷体_GB2312" w:hint="eastAsia"/>
          <w:color w:val="000000"/>
          <w:sz w:val="31"/>
          <w:szCs w:val="31"/>
          <w:shd w:val="clear" w:color="auto" w:fill="FFFFFF"/>
        </w:rPr>
        <w:t>三是加强信息公开审查。</w:t>
      </w:r>
      <w:r>
        <w:rPr>
          <w:rFonts w:ascii="仿宋_GB2312" w:eastAsia="仿宋_GB2312" w:hAnsi="sans-serif" w:cs="仿宋_GB2312" w:hint="eastAsia"/>
          <w:color w:val="000000"/>
          <w:sz w:val="31"/>
          <w:szCs w:val="31"/>
          <w:shd w:val="clear" w:color="auto" w:fill="FFFFFF"/>
        </w:rPr>
        <w:t>认真落实《中华人民共和国政府</w:t>
      </w:r>
      <w:r>
        <w:rPr>
          <w:rFonts w:ascii="仿宋_GB2312" w:eastAsia="仿宋_GB2312" w:hAnsi="sans-serif" w:cs="仿宋_GB2312" w:hint="eastAsia"/>
          <w:color w:val="000000"/>
          <w:sz w:val="31"/>
          <w:szCs w:val="31"/>
          <w:shd w:val="clear" w:color="auto" w:fill="FFFFFF"/>
        </w:rPr>
        <w:lastRenderedPageBreak/>
        <w:t>信息公开条例》等法律规定，按照“先审查、后公开”的原则，严格做好政府信息公开源头审核、保密审查等工作，对警种部门提报的信息实行“三级审核”，确保公开的信息不涉密。</w:t>
      </w:r>
      <w:r>
        <w:rPr>
          <w:rFonts w:ascii="楷体_GB2312" w:eastAsia="楷体_GB2312" w:hAnsi="sans-serif" w:cs="楷体_GB2312" w:hint="eastAsia"/>
          <w:color w:val="000000"/>
          <w:sz w:val="31"/>
          <w:szCs w:val="31"/>
          <w:shd w:val="clear" w:color="auto" w:fill="FFFFFF"/>
        </w:rPr>
        <w:t>四是加强平台建设。</w:t>
      </w:r>
      <w:r>
        <w:rPr>
          <w:rFonts w:ascii="仿宋_GB2312" w:eastAsia="仿宋_GB2312" w:hAnsi="sans-serif" w:cs="仿宋_GB2312" w:hint="eastAsia"/>
          <w:color w:val="000000"/>
          <w:sz w:val="31"/>
          <w:szCs w:val="31"/>
          <w:shd w:val="clear" w:color="auto" w:fill="FFFFFF"/>
        </w:rPr>
        <w:t>加强信息公开平台建设，充分依托微山县政府信息公开专栏、微山县公安局门户网站及公安微博、微信公众号平台等新媒体，及时公开各类政府信息。年内，在微山县人民政府网站发布公安类信息共计70条。</w:t>
      </w:r>
      <w:r>
        <w:rPr>
          <w:rFonts w:ascii="楷体_GB2312" w:eastAsia="楷体_GB2312" w:hAnsi="sans-serif" w:cs="楷体_GB2312" w:hint="eastAsia"/>
          <w:color w:val="000000"/>
          <w:sz w:val="31"/>
          <w:szCs w:val="31"/>
          <w:shd w:val="clear" w:color="auto" w:fill="FFFFFF"/>
        </w:rPr>
        <w:t>五是加强监督保障。</w:t>
      </w:r>
      <w:r>
        <w:rPr>
          <w:rFonts w:ascii="仿宋_GB2312" w:eastAsia="仿宋_GB2312" w:hAnsi="sans-serif" w:cs="仿宋_GB2312" w:hint="eastAsia"/>
          <w:color w:val="000000"/>
          <w:sz w:val="31"/>
          <w:szCs w:val="31"/>
          <w:shd w:val="clear" w:color="auto" w:fill="FFFFFF"/>
        </w:rPr>
        <w:t>加强业务培训。坚持以会代训，采取“请进来、走出去”相结合的方式，组织各警种部门具体负责同志46余人（次）开展1次政务公开工作培训班，集体学习上级政务公开专项督查通报，查找分析政务公开存在的问题，明确整改措施，讲授政府信息公开工作业务，有力地提升了政务公开工作能力和水平。</w:t>
      </w:r>
    </w:p>
    <w:p w:rsidR="00A30650" w:rsidRDefault="00685D9E">
      <w:pPr>
        <w:pStyle w:val="a3"/>
        <w:widowControl/>
        <w:shd w:val="clear" w:color="auto" w:fill="FFFFFF"/>
        <w:spacing w:beforeAutospacing="0" w:after="240" w:afterAutospacing="0" w:line="420" w:lineRule="atLeast"/>
        <w:ind w:firstLine="315"/>
        <w:jc w:val="both"/>
        <w:rPr>
          <w:rFonts w:ascii="sans-serif" w:eastAsia="sans-serif" w:hAnsi="sans-serif" w:cs="sans-serif"/>
          <w:color w:val="000000"/>
        </w:rPr>
      </w:pPr>
      <w:r>
        <w:rPr>
          <w:rFonts w:ascii="黑体" w:eastAsia="黑体" w:hAnsi="宋体" w:cs="黑体" w:hint="eastAsia"/>
          <w:color w:val="000000"/>
          <w:sz w:val="31"/>
          <w:szCs w:val="31"/>
          <w:shd w:val="clear" w:color="auto" w:fill="FFFFFF"/>
        </w:rPr>
        <w:t>二、主动公开政府信息情况</w:t>
      </w:r>
    </w:p>
    <w:tbl>
      <w:tblPr>
        <w:tblW w:w="8640" w:type="dxa"/>
        <w:jc w:val="center"/>
        <w:tblCellMar>
          <w:top w:w="15" w:type="dxa"/>
          <w:left w:w="15" w:type="dxa"/>
          <w:bottom w:w="15" w:type="dxa"/>
          <w:right w:w="15" w:type="dxa"/>
        </w:tblCellMar>
        <w:tblLook w:val="04A0"/>
      </w:tblPr>
      <w:tblGrid>
        <w:gridCol w:w="3300"/>
        <w:gridCol w:w="1995"/>
        <w:gridCol w:w="1350"/>
        <w:gridCol w:w="1995"/>
      </w:tblGrid>
      <w:tr w:rsidR="00A30650">
        <w:trPr>
          <w:trHeight w:val="450"/>
          <w:jc w:val="center"/>
        </w:trPr>
        <w:tc>
          <w:tcPr>
            <w:tcW w:w="8640"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第二十条第（一）项</w:t>
            </w:r>
          </w:p>
        </w:tc>
      </w:tr>
      <w:tr w:rsidR="00A30650">
        <w:trPr>
          <w:trHeight w:val="79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信息内容</w:t>
            </w:r>
          </w:p>
        </w:tc>
        <w:tc>
          <w:tcPr>
            <w:tcW w:w="19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本年新</w:t>
            </w:r>
            <w:r>
              <w:rPr>
                <w:rStyle w:val="a4"/>
                <w:rFonts w:ascii="宋体" w:eastAsia="宋体" w:hAnsi="宋体" w:cs="宋体" w:hint="eastAsia"/>
                <w:sz w:val="19"/>
                <w:szCs w:val="19"/>
              </w:rPr>
              <w:br/>
            </w:r>
            <w:r>
              <w:rPr>
                <w:rStyle w:val="a4"/>
                <w:rFonts w:ascii="Calibri" w:hAnsi="Calibri" w:cs="Calibri"/>
                <w:sz w:val="19"/>
                <w:szCs w:val="19"/>
              </w:rPr>
              <w:t>制作数量</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本年新</w:t>
            </w:r>
            <w:r>
              <w:rPr>
                <w:rStyle w:val="a4"/>
                <w:rFonts w:ascii="宋体" w:eastAsia="宋体" w:hAnsi="宋体" w:cs="宋体" w:hint="eastAsia"/>
                <w:sz w:val="19"/>
                <w:szCs w:val="19"/>
              </w:rPr>
              <w:br/>
            </w:r>
            <w:r>
              <w:rPr>
                <w:rStyle w:val="a4"/>
                <w:rFonts w:ascii="Calibri" w:hAnsi="Calibri" w:cs="Calibri"/>
                <w:sz w:val="19"/>
                <w:szCs w:val="19"/>
              </w:rPr>
              <w:t>公开数量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对外公开总数量</w:t>
            </w:r>
          </w:p>
        </w:tc>
      </w:tr>
      <w:tr w:rsidR="00A30650">
        <w:trPr>
          <w:trHeight w:val="46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规章</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0</w:t>
            </w:r>
          </w:p>
        </w:tc>
        <w:tc>
          <w:tcPr>
            <w:tcW w:w="13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0</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pPr>
            <w:r>
              <w:rPr>
                <w:rStyle w:val="a4"/>
                <w:sz w:val="19"/>
                <w:szCs w:val="19"/>
              </w:rPr>
              <w:t>0</w:t>
            </w:r>
          </w:p>
        </w:tc>
      </w:tr>
      <w:tr w:rsidR="00A30650">
        <w:trPr>
          <w:trHeight w:val="42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规范性文件</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0</w:t>
            </w:r>
          </w:p>
        </w:tc>
        <w:tc>
          <w:tcPr>
            <w:tcW w:w="13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0</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0</w:t>
            </w:r>
          </w:p>
        </w:tc>
      </w:tr>
      <w:tr w:rsidR="00A30650">
        <w:trPr>
          <w:trHeight w:val="435"/>
          <w:jc w:val="center"/>
        </w:trPr>
        <w:tc>
          <w:tcPr>
            <w:tcW w:w="864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第二十条第（五）项</w:t>
            </w:r>
          </w:p>
        </w:tc>
      </w:tr>
      <w:tr w:rsidR="00A30650">
        <w:trPr>
          <w:trHeight w:val="57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信息内容</w:t>
            </w:r>
          </w:p>
        </w:tc>
        <w:tc>
          <w:tcPr>
            <w:tcW w:w="19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上一年项目数量</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本年增/减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处理决定数量</w:t>
            </w:r>
          </w:p>
        </w:tc>
      </w:tr>
      <w:tr w:rsidR="00A30650">
        <w:trPr>
          <w:trHeight w:val="48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行政许可</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rsidP="009C4CC4">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4</w:t>
            </w:r>
            <w:r w:rsidR="009C4CC4">
              <w:rPr>
                <w:rStyle w:val="a4"/>
                <w:rFonts w:ascii="宋体" w:eastAsia="宋体" w:hAnsi="宋体" w:cs="宋体" w:hint="eastAsia"/>
                <w:sz w:val="19"/>
                <w:szCs w:val="19"/>
              </w:rPr>
              <w:t>1</w:t>
            </w:r>
          </w:p>
        </w:tc>
        <w:tc>
          <w:tcPr>
            <w:tcW w:w="1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无增减　</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Fonts w:hint="eastAsia"/>
              </w:rPr>
              <w:t>326512</w:t>
            </w:r>
          </w:p>
        </w:tc>
      </w:tr>
      <w:tr w:rsidR="00A30650">
        <w:trPr>
          <w:trHeight w:val="49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其他对外管理服务事项</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Style w:val="a4"/>
                <w:rFonts w:ascii="宋体" w:eastAsia="宋体" w:hAnsi="宋体" w:cs="宋体" w:hint="eastAsia"/>
                <w:kern w:val="0"/>
                <w:sz w:val="19"/>
                <w:szCs w:val="19"/>
              </w:rPr>
              <w:t>无增减</w:t>
            </w:r>
          </w:p>
        </w:tc>
        <w:tc>
          <w:tcPr>
            <w:tcW w:w="1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Style w:val="a4"/>
                <w:rFonts w:ascii="宋体" w:eastAsia="宋体" w:hAnsi="宋体" w:cs="宋体" w:hint="eastAsia"/>
                <w:kern w:val="0"/>
                <w:sz w:val="19"/>
                <w:szCs w:val="19"/>
              </w:rPr>
              <w:t>无增减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Fonts w:hint="eastAsia"/>
              </w:rPr>
              <w:t>0</w:t>
            </w:r>
          </w:p>
        </w:tc>
      </w:tr>
      <w:tr w:rsidR="00A30650">
        <w:trPr>
          <w:trHeight w:val="360"/>
          <w:jc w:val="center"/>
        </w:trPr>
        <w:tc>
          <w:tcPr>
            <w:tcW w:w="864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第二十条第（六）项</w:t>
            </w:r>
          </w:p>
        </w:tc>
      </w:tr>
      <w:tr w:rsidR="00A30650">
        <w:trPr>
          <w:trHeight w:val="57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信息内容</w:t>
            </w:r>
          </w:p>
        </w:tc>
        <w:tc>
          <w:tcPr>
            <w:tcW w:w="19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上一年项目数量</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本年增/</w:t>
            </w:r>
            <w:r>
              <w:rPr>
                <w:rStyle w:val="a4"/>
                <w:rFonts w:ascii="宋体" w:eastAsia="宋体" w:hAnsi="宋体" w:cs="宋体" w:hint="eastAsia"/>
                <w:sz w:val="19"/>
                <w:szCs w:val="19"/>
              </w:rPr>
              <w:lastRenderedPageBreak/>
              <w:t>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lastRenderedPageBreak/>
              <w:t>处理决定数量</w:t>
            </w:r>
          </w:p>
        </w:tc>
      </w:tr>
      <w:tr w:rsidR="00A30650">
        <w:trPr>
          <w:trHeight w:val="39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lastRenderedPageBreak/>
              <w:t>行政处罚</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rsidP="009C4CC4">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w:t>
            </w:r>
            <w:r w:rsidR="009C4CC4">
              <w:rPr>
                <w:rStyle w:val="a4"/>
                <w:rFonts w:ascii="宋体" w:eastAsia="宋体" w:hAnsi="宋体" w:cs="宋体" w:hint="eastAsia"/>
                <w:sz w:val="19"/>
                <w:szCs w:val="19"/>
              </w:rPr>
              <w:t>315</w:t>
            </w:r>
          </w:p>
        </w:tc>
        <w:tc>
          <w:tcPr>
            <w:tcW w:w="1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无增减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Fonts w:hint="eastAsia"/>
              </w:rPr>
              <w:t>1203</w:t>
            </w:r>
          </w:p>
        </w:tc>
      </w:tr>
      <w:tr w:rsidR="00A30650">
        <w:trPr>
          <w:trHeight w:val="37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行政强制</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rsidP="009C4CC4">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3</w:t>
            </w:r>
            <w:r w:rsidR="009C4CC4">
              <w:rPr>
                <w:rStyle w:val="a4"/>
                <w:rFonts w:ascii="宋体" w:eastAsia="宋体" w:hAnsi="宋体" w:cs="宋体" w:hint="eastAsia"/>
                <w:sz w:val="19"/>
                <w:szCs w:val="19"/>
              </w:rPr>
              <w:t>2</w:t>
            </w:r>
          </w:p>
        </w:tc>
        <w:tc>
          <w:tcPr>
            <w:tcW w:w="13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无增减</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widowControl/>
              <w:jc w:val="left"/>
            </w:pPr>
            <w:r>
              <w:rPr>
                <w:rFonts w:hint="eastAsia"/>
              </w:rPr>
              <w:t>82</w:t>
            </w:r>
          </w:p>
        </w:tc>
      </w:tr>
      <w:tr w:rsidR="00A30650">
        <w:trPr>
          <w:trHeight w:val="420"/>
          <w:jc w:val="center"/>
        </w:trPr>
        <w:tc>
          <w:tcPr>
            <w:tcW w:w="864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第二十条第（八）项</w:t>
            </w:r>
          </w:p>
        </w:tc>
      </w:tr>
      <w:tr w:rsidR="00A30650">
        <w:trPr>
          <w:trHeight w:val="24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信息内容</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上一年项目数量</w:t>
            </w:r>
          </w:p>
        </w:tc>
        <w:tc>
          <w:tcPr>
            <w:tcW w:w="334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本年增/减</w:t>
            </w:r>
          </w:p>
        </w:tc>
      </w:tr>
      <w:tr w:rsidR="00A30650">
        <w:trPr>
          <w:trHeight w:val="49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行政事业性收费</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rsidP="009C4CC4">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w:t>
            </w:r>
            <w:r w:rsidR="009C4CC4">
              <w:rPr>
                <w:rStyle w:val="a4"/>
                <w:rFonts w:ascii="宋体" w:eastAsia="宋体" w:hAnsi="宋体" w:cs="宋体" w:hint="eastAsia"/>
                <w:sz w:val="19"/>
                <w:szCs w:val="19"/>
              </w:rPr>
              <w:t>13</w:t>
            </w:r>
          </w:p>
        </w:tc>
        <w:tc>
          <w:tcPr>
            <w:tcW w:w="334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无增减</w:t>
            </w:r>
          </w:p>
        </w:tc>
      </w:tr>
      <w:tr w:rsidR="00A30650">
        <w:trPr>
          <w:trHeight w:val="435"/>
          <w:jc w:val="center"/>
        </w:trPr>
        <w:tc>
          <w:tcPr>
            <w:tcW w:w="864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第二十条第（九）项</w:t>
            </w:r>
          </w:p>
        </w:tc>
      </w:tr>
      <w:tr w:rsidR="00A30650">
        <w:trPr>
          <w:trHeight w:val="525"/>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信息内容</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采购项目数量</w:t>
            </w:r>
          </w:p>
        </w:tc>
        <w:tc>
          <w:tcPr>
            <w:tcW w:w="334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采购总金额</w:t>
            </w:r>
          </w:p>
        </w:tc>
      </w:tr>
      <w:tr w:rsidR="00A30650">
        <w:trPr>
          <w:trHeight w:val="480"/>
          <w:jc w:val="center"/>
        </w:trPr>
        <w:tc>
          <w:tcPr>
            <w:tcW w:w="3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政府集中采购</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 xml:space="preserve">　10</w:t>
            </w:r>
          </w:p>
        </w:tc>
        <w:tc>
          <w:tcPr>
            <w:tcW w:w="334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960"/>
              <w:rPr>
                <w:sz w:val="21"/>
                <w:szCs w:val="21"/>
              </w:rPr>
            </w:pPr>
            <w:r>
              <w:rPr>
                <w:rStyle w:val="a4"/>
                <w:rFonts w:ascii="宋体" w:eastAsia="宋体" w:hAnsi="宋体" w:cs="宋体" w:hint="eastAsia"/>
              </w:rPr>
              <w:t>2900余万</w:t>
            </w:r>
          </w:p>
        </w:tc>
      </w:tr>
    </w:tbl>
    <w:p w:rsidR="00A30650" w:rsidRDefault="00685D9E">
      <w:pPr>
        <w:pStyle w:val="a3"/>
        <w:widowControl/>
        <w:shd w:val="clear" w:color="auto" w:fill="FFFFFF"/>
        <w:spacing w:beforeAutospacing="0" w:after="240" w:afterAutospacing="0" w:line="420" w:lineRule="atLeast"/>
        <w:ind w:firstLine="420"/>
        <w:jc w:val="both"/>
        <w:rPr>
          <w:rFonts w:ascii="sans-serif" w:eastAsia="sans-serif" w:hAnsi="sans-serif" w:cs="sans-serif"/>
          <w:color w:val="000000"/>
        </w:rPr>
      </w:pPr>
      <w:r>
        <w:rPr>
          <w:rStyle w:val="a4"/>
          <w:rFonts w:ascii="宋体" w:eastAsia="宋体" w:hAnsi="宋体" w:cs="宋体" w:hint="eastAsia"/>
          <w:color w:val="000000"/>
          <w:shd w:val="clear" w:color="auto" w:fill="FFFFFF"/>
        </w:rPr>
        <w:t> </w:t>
      </w:r>
    </w:p>
    <w:p w:rsidR="00A30650" w:rsidRDefault="00685D9E">
      <w:pPr>
        <w:pStyle w:val="a3"/>
        <w:widowControl/>
        <w:shd w:val="clear" w:color="auto" w:fill="FFFFFF"/>
        <w:spacing w:beforeAutospacing="0" w:after="240" w:afterAutospacing="0" w:line="420" w:lineRule="atLeast"/>
        <w:ind w:firstLine="645"/>
        <w:jc w:val="both"/>
        <w:rPr>
          <w:rFonts w:ascii="sans-serif" w:eastAsia="sans-serif" w:hAnsi="sans-serif" w:cs="sans-serif"/>
          <w:color w:val="000000"/>
        </w:rPr>
      </w:pPr>
      <w:r>
        <w:rPr>
          <w:rFonts w:ascii="黑体" w:eastAsia="黑体" w:hAnsi="宋体" w:cs="黑体" w:hint="eastAsia"/>
          <w:color w:val="000000"/>
          <w:sz w:val="31"/>
          <w:szCs w:val="31"/>
          <w:shd w:val="clear" w:color="auto" w:fill="FFFFFF"/>
        </w:rPr>
        <w:t>三、收到和处理政府信息公开申请情况</w:t>
      </w:r>
    </w:p>
    <w:tbl>
      <w:tblPr>
        <w:tblW w:w="931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14"/>
        <w:gridCol w:w="855"/>
        <w:gridCol w:w="2439"/>
        <w:gridCol w:w="719"/>
        <w:gridCol w:w="749"/>
        <w:gridCol w:w="749"/>
        <w:gridCol w:w="809"/>
        <w:gridCol w:w="973"/>
        <w:gridCol w:w="704"/>
        <w:gridCol w:w="704"/>
      </w:tblGrid>
      <w:tr w:rsidR="00A30650">
        <w:trPr>
          <w:trHeight w:val="285"/>
          <w:jc w:val="center"/>
        </w:trPr>
        <w:tc>
          <w:tcPr>
            <w:tcW w:w="3900"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（本列数据的勾稽关系为：第一项加第二项之和，等于第三项加第四项之和）</w:t>
            </w:r>
          </w:p>
        </w:tc>
        <w:tc>
          <w:tcPr>
            <w:tcW w:w="5415"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申请人情况</w:t>
            </w:r>
          </w:p>
        </w:tc>
      </w:tr>
      <w:tr w:rsidR="00A30650">
        <w:trPr>
          <w:trHeight w:val="135"/>
          <w:jc w:val="center"/>
        </w:trPr>
        <w:tc>
          <w:tcPr>
            <w:tcW w:w="3900" w:type="dxa"/>
            <w:gridSpan w:val="3"/>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7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自然人</w:t>
            </w:r>
          </w:p>
        </w:tc>
        <w:tc>
          <w:tcPr>
            <w:tcW w:w="399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法人或其他组织</w:t>
            </w:r>
          </w:p>
        </w:tc>
        <w:tc>
          <w:tcPr>
            <w:tcW w:w="69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总计</w:t>
            </w:r>
          </w:p>
        </w:tc>
      </w:tr>
      <w:tr w:rsidR="00A30650">
        <w:trPr>
          <w:trHeight w:val="135"/>
          <w:jc w:val="center"/>
        </w:trPr>
        <w:tc>
          <w:tcPr>
            <w:tcW w:w="3900" w:type="dxa"/>
            <w:gridSpan w:val="3"/>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72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商业企业</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科研机构</w:t>
            </w:r>
          </w:p>
        </w:tc>
        <w:tc>
          <w:tcPr>
            <w:tcW w:w="8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社会公益组织</w:t>
            </w:r>
          </w:p>
        </w:tc>
        <w:tc>
          <w:tcPr>
            <w:tcW w:w="9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法律服务机构</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rPr>
                <w:sz w:val="21"/>
                <w:szCs w:val="21"/>
              </w:rPr>
            </w:pPr>
            <w:r>
              <w:rPr>
                <w:rStyle w:val="a4"/>
                <w:rFonts w:ascii="宋体" w:eastAsia="宋体" w:hAnsi="宋体" w:cs="宋体" w:hint="eastAsia"/>
                <w:sz w:val="19"/>
                <w:szCs w:val="19"/>
              </w:rPr>
              <w:t>其他</w:t>
            </w:r>
          </w:p>
        </w:tc>
        <w:tc>
          <w:tcPr>
            <w:tcW w:w="690"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r>
      <w:tr w:rsidR="00A30650">
        <w:trPr>
          <w:trHeight w:val="270"/>
          <w:jc w:val="center"/>
        </w:trPr>
        <w:tc>
          <w:tcPr>
            <w:tcW w:w="390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一、本年新收政府信息公开申请数量</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285"/>
          <w:jc w:val="center"/>
        </w:trPr>
        <w:tc>
          <w:tcPr>
            <w:tcW w:w="390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t>二、上年结转政府信息公开申请数量</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285"/>
          <w:jc w:val="center"/>
        </w:trPr>
        <w:tc>
          <w:tcPr>
            <w:tcW w:w="61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三、本年度办理结果</w:t>
            </w:r>
          </w:p>
        </w:tc>
        <w:tc>
          <w:tcPr>
            <w:tcW w:w="32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sz w:val="19"/>
                <w:szCs w:val="19"/>
              </w:rPr>
              <w:t>（一）予以公开</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32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（二）部分公开（区分处理的，只计这一情形，不计其他情形）</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30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（三）不予公开</w:t>
            </w: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1.属于国家秘密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2.其他法律行政法规禁止公开</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42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3.危及“三安全一稳定”</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24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4.保护第三方合法权益</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r w:rsidR="00A30650">
        <w:trPr>
          <w:trHeight w:val="34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5.属于三类内部事务信息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40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6.属于四类过程性信息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30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7.属于行政执法案卷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30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8.属于行政查询事项</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（四）无法提供</w:t>
            </w: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1.本机关不掌握相关政府信息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2.没有现成信息需要另行制作</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3.补正后申请内容仍不明确</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57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（五）不予处理</w:t>
            </w: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1.信访举报投诉类申请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2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2.重复申请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3.要求提供公开出版物</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r w:rsidR="00A30650">
        <w:trPr>
          <w:trHeight w:val="58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4.无正当理由大量反复申请</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855"/>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85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24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5.要求行政机关确认或重新出具已获取信息</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30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32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（六）其他处理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r w:rsidR="00A30650">
        <w:trPr>
          <w:trHeight w:val="300"/>
          <w:jc w:val="center"/>
        </w:trPr>
        <w:tc>
          <w:tcPr>
            <w:tcW w:w="61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32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楷体" w:eastAsia="楷体" w:hAnsi="楷体" w:cs="楷体" w:hint="eastAsia"/>
                <w:sz w:val="19"/>
                <w:szCs w:val="19"/>
              </w:rPr>
              <w:t>（七）总计</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r>
      <w:tr w:rsidR="00A30650">
        <w:trPr>
          <w:trHeight w:val="285"/>
          <w:jc w:val="center"/>
        </w:trPr>
        <w:tc>
          <w:tcPr>
            <w:tcW w:w="390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rPr>
                <w:sz w:val="21"/>
                <w:szCs w:val="21"/>
              </w:rPr>
            </w:pPr>
            <w:r>
              <w:rPr>
                <w:rStyle w:val="a4"/>
                <w:rFonts w:ascii="宋体" w:eastAsia="宋体" w:hAnsi="宋体" w:cs="宋体" w:hint="eastAsia"/>
                <w:sz w:val="19"/>
                <w:szCs w:val="19"/>
              </w:rPr>
              <w:lastRenderedPageBreak/>
              <w:t>四、结转下年度继续办理</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Calibri" w:hAnsi="Calibri" w:cs="Calibri"/>
                <w:sz w:val="19"/>
                <w:szCs w:val="19"/>
              </w:rPr>
              <w:t> </w:t>
            </w:r>
            <w:r>
              <w:rPr>
                <w:rStyle w:val="a4"/>
                <w:rFonts w:ascii="宋体" w:eastAsia="宋体" w:hAnsi="宋体" w:cs="宋体" w:hint="eastAsia"/>
                <w:sz w:val="19"/>
                <w:szCs w:val="19"/>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0</w:t>
            </w:r>
            <w:r>
              <w:rPr>
                <w:rStyle w:val="a4"/>
                <w:rFonts w:ascii="Calibri" w:hAnsi="Calibri" w:cs="Calibri"/>
                <w:sz w:val="19"/>
                <w:szCs w:val="19"/>
              </w:rPr>
              <w:t> </w:t>
            </w:r>
          </w:p>
        </w:tc>
      </w:tr>
    </w:tbl>
    <w:p w:rsidR="00A30650" w:rsidRDefault="00685D9E">
      <w:pPr>
        <w:pStyle w:val="a3"/>
        <w:widowControl/>
        <w:shd w:val="clear" w:color="auto" w:fill="FFFFFF"/>
        <w:spacing w:beforeAutospacing="0" w:afterAutospacing="0" w:line="420" w:lineRule="atLeast"/>
        <w:ind w:firstLine="645"/>
        <w:jc w:val="both"/>
        <w:rPr>
          <w:rFonts w:ascii="sans-serif" w:eastAsia="sans-serif" w:hAnsi="sans-serif" w:cs="sans-serif"/>
          <w:color w:val="000000"/>
        </w:rPr>
      </w:pPr>
      <w:r>
        <w:rPr>
          <w:rFonts w:ascii="黑体" w:eastAsia="黑体" w:hAnsi="宋体" w:cs="黑体" w:hint="eastAsia"/>
          <w:color w:val="000000"/>
          <w:sz w:val="31"/>
          <w:szCs w:val="31"/>
          <w:shd w:val="clear" w:color="auto" w:fill="FFFFFF"/>
        </w:rPr>
        <w:t>四、政府信息公开行政复议、行政诉讼情况</w:t>
      </w:r>
    </w:p>
    <w:p w:rsidR="00A30650" w:rsidRDefault="00685D9E">
      <w:pPr>
        <w:pStyle w:val="a3"/>
        <w:widowControl/>
        <w:shd w:val="clear" w:color="auto" w:fill="FFFFFF"/>
        <w:spacing w:beforeAutospacing="0" w:afterAutospacing="0" w:line="420" w:lineRule="atLeast"/>
        <w:ind w:firstLine="480"/>
        <w:jc w:val="both"/>
        <w:rPr>
          <w:rFonts w:ascii="sans-serif" w:eastAsia="sans-serif" w:hAnsi="sans-serif" w:cs="sans-serif"/>
          <w:color w:val="000000"/>
        </w:rPr>
      </w:pPr>
      <w:r>
        <w:rPr>
          <w:rStyle w:val="a4"/>
          <w:rFonts w:ascii="宋体" w:eastAsia="宋体" w:hAnsi="宋体" w:cs="宋体" w:hint="eastAsia"/>
          <w:color w:val="000000"/>
          <w:shd w:val="clear" w:color="auto" w:fill="FFFFFF"/>
        </w:rPr>
        <w:t> </w:t>
      </w:r>
    </w:p>
    <w:tbl>
      <w:tblPr>
        <w:tblW w:w="90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A30650">
        <w:trPr>
          <w:jc w:val="center"/>
        </w:trPr>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行政复议</w:t>
            </w:r>
          </w:p>
        </w:tc>
        <w:tc>
          <w:tcPr>
            <w:tcW w:w="600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行政诉讼</w:t>
            </w:r>
          </w:p>
        </w:tc>
      </w:tr>
      <w:tr w:rsidR="00A30650">
        <w:trPr>
          <w:jc w:val="center"/>
        </w:trPr>
        <w:tc>
          <w:tcPr>
            <w:tcW w:w="6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结果维持</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结果纠正</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其他结果</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尚未审结</w:t>
            </w:r>
          </w:p>
        </w:tc>
        <w:tc>
          <w:tcPr>
            <w:tcW w:w="66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总计</w:t>
            </w:r>
          </w:p>
        </w:tc>
        <w:tc>
          <w:tcPr>
            <w:tcW w:w="297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未经复议直接起诉</w:t>
            </w:r>
          </w:p>
        </w:tc>
        <w:tc>
          <w:tcPr>
            <w:tcW w:w="303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ind w:firstLine="405"/>
              <w:jc w:val="center"/>
              <w:rPr>
                <w:sz w:val="21"/>
                <w:szCs w:val="21"/>
              </w:rPr>
            </w:pPr>
            <w:r>
              <w:rPr>
                <w:rStyle w:val="a4"/>
                <w:rFonts w:ascii="宋体" w:eastAsia="宋体" w:hAnsi="宋体" w:cs="宋体" w:hint="eastAsia"/>
                <w:sz w:val="19"/>
                <w:szCs w:val="19"/>
              </w:rPr>
              <w:t>复议后起诉</w:t>
            </w:r>
          </w:p>
        </w:tc>
      </w:tr>
      <w:tr w:rsidR="00A30650">
        <w:trPr>
          <w:jc w:val="center"/>
        </w:trPr>
        <w:tc>
          <w:tcPr>
            <w:tcW w:w="60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60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600"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600"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660"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A30650">
            <w:pPr>
              <w:rPr>
                <w:rFonts w:ascii="宋体"/>
                <w:sz w:val="24"/>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其他结果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尚未审结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总计</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结果维持</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结果纠正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其他结果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尚未审结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总计</w:t>
            </w:r>
          </w:p>
        </w:tc>
      </w:tr>
      <w:tr w:rsidR="00A30650">
        <w:trPr>
          <w:jc w:val="center"/>
        </w:trPr>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7</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1</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8</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4</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3</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7</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2</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sz w:val="19"/>
                <w:szCs w:val="19"/>
              </w:rPr>
              <w:t>1</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9C4CC4">
            <w:pPr>
              <w:widowControl/>
              <w:jc w:val="left"/>
            </w:pPr>
            <w:r>
              <w:rPr>
                <w:rFonts w:hint="eastAsia"/>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30650" w:rsidRDefault="00685D9E">
            <w:pPr>
              <w:pStyle w:val="a3"/>
              <w:widowControl/>
              <w:spacing w:beforeAutospacing="0" w:afterAutospacing="0" w:line="420" w:lineRule="atLeast"/>
              <w:jc w:val="center"/>
              <w:rPr>
                <w:sz w:val="21"/>
                <w:szCs w:val="21"/>
              </w:rPr>
            </w:pPr>
            <w:r>
              <w:rPr>
                <w:rStyle w:val="a4"/>
                <w:rFonts w:ascii="宋体" w:eastAsia="宋体" w:hAnsi="宋体" w:cs="宋体" w:hint="eastAsia"/>
              </w:rPr>
              <w:t>3</w:t>
            </w:r>
          </w:p>
        </w:tc>
      </w:tr>
    </w:tbl>
    <w:p w:rsidR="00A30650" w:rsidRDefault="00685D9E">
      <w:pPr>
        <w:pStyle w:val="a3"/>
        <w:widowControl/>
        <w:shd w:val="clear" w:color="auto" w:fill="FFFFFF"/>
        <w:spacing w:beforeAutospacing="0" w:afterAutospacing="0" w:line="420" w:lineRule="atLeast"/>
        <w:ind w:firstLine="480"/>
        <w:jc w:val="center"/>
        <w:rPr>
          <w:rFonts w:ascii="sans-serif" w:eastAsia="sans-serif" w:hAnsi="sans-serif" w:cs="sans-serif"/>
          <w:color w:val="000000"/>
          <w:sz w:val="21"/>
          <w:szCs w:val="21"/>
        </w:rPr>
      </w:pPr>
      <w:r>
        <w:rPr>
          <w:rStyle w:val="a4"/>
          <w:rFonts w:ascii="宋体" w:eastAsia="宋体" w:hAnsi="宋体" w:cs="宋体" w:hint="eastAsia"/>
          <w:color w:val="000000"/>
          <w:shd w:val="clear" w:color="auto" w:fill="FFFFFF"/>
        </w:rPr>
        <w:t> </w:t>
      </w:r>
    </w:p>
    <w:p w:rsidR="00A30650" w:rsidRDefault="00685D9E">
      <w:pPr>
        <w:pStyle w:val="a3"/>
        <w:widowControl/>
        <w:shd w:val="clear" w:color="auto" w:fill="FFFFFF"/>
        <w:spacing w:beforeAutospacing="0" w:afterAutospacing="0" w:line="600" w:lineRule="atLeast"/>
        <w:ind w:firstLine="420"/>
        <w:jc w:val="both"/>
        <w:rPr>
          <w:rFonts w:ascii="sans-serif" w:eastAsia="sans-serif" w:hAnsi="sans-serif" w:cs="sans-serif"/>
          <w:color w:val="000000"/>
        </w:rPr>
      </w:pPr>
      <w:r>
        <w:rPr>
          <w:rFonts w:ascii="黑体" w:eastAsia="黑体" w:hAnsi="宋体" w:cs="黑体" w:hint="eastAsia"/>
          <w:color w:val="000000"/>
          <w:sz w:val="31"/>
          <w:szCs w:val="31"/>
          <w:shd w:val="clear" w:color="auto" w:fill="FFFFFF"/>
        </w:rPr>
        <w:t>五、存在的主要问题及改进情况</w:t>
      </w:r>
    </w:p>
    <w:p w:rsidR="00A30650" w:rsidRDefault="00685D9E">
      <w:pPr>
        <w:pStyle w:val="a3"/>
        <w:widowControl/>
        <w:shd w:val="clear" w:color="auto" w:fill="FFFFFF"/>
        <w:spacing w:beforeAutospacing="0" w:afterAutospacing="0" w:line="600" w:lineRule="atLeast"/>
        <w:ind w:firstLine="315"/>
        <w:rPr>
          <w:rFonts w:ascii="sans-serif" w:eastAsia="sans-serif" w:hAnsi="sans-serif" w:cs="sans-serif"/>
          <w:color w:val="000000"/>
        </w:rPr>
      </w:pPr>
      <w:r>
        <w:rPr>
          <w:rFonts w:ascii="仿宋_GB2312" w:eastAsia="仿宋_GB2312" w:hAnsi="sans-serif" w:cs="仿宋_GB2312" w:hint="eastAsia"/>
          <w:color w:val="000000"/>
          <w:sz w:val="31"/>
          <w:szCs w:val="31"/>
          <w:shd w:val="clear" w:color="auto" w:fill="FFFFFF"/>
        </w:rPr>
        <w:t>2020年，县公安局政府信息公开工作取得一定成效，但仍存在一些问题：一是思想认识有待于进一步提高，少数警种单位重视程度不够，主动公开意识不强；二是政府信息公开的广度和深度还不够，信息发布量不够多，公开工作不够常态化；三是公开内容不够规范，发布格式不够统一，内容有时存在瑕疵。</w:t>
      </w:r>
    </w:p>
    <w:p w:rsidR="00A30650" w:rsidRDefault="00685D9E">
      <w:pPr>
        <w:pStyle w:val="a3"/>
        <w:widowControl/>
        <w:shd w:val="clear" w:color="auto" w:fill="FFFFFF"/>
        <w:spacing w:beforeAutospacing="0" w:afterAutospacing="0" w:line="600" w:lineRule="atLeast"/>
        <w:rPr>
          <w:rFonts w:ascii="sans-serif" w:eastAsia="sans-serif" w:hAnsi="sans-serif" w:cs="sans-serif"/>
          <w:color w:val="000000"/>
        </w:rPr>
      </w:pPr>
      <w:r>
        <w:rPr>
          <w:rFonts w:ascii="仿宋_GB2312" w:eastAsia="仿宋_GB2312" w:hAnsi="sans-serif" w:cs="仿宋_GB2312" w:hint="eastAsia"/>
          <w:color w:val="000000"/>
          <w:sz w:val="31"/>
          <w:szCs w:val="31"/>
          <w:shd w:val="clear" w:color="auto" w:fill="FFFFFF"/>
        </w:rPr>
        <w:t xml:space="preserve">　　针对存在的问题，县公安局2021年打算：一是进一步增强主动公开意识。进一步明确主要负责人“第一责任人”的责任，认真组织学习上级政务公开工作会议、文件精神，增强各警种主动公开意识。二是进一步加大主动公开力度。围绕县委、县政府和市公安局中心工作，及时调整充实政府信息公开目录和内容，按照公开为常态、不公开为例外原则，最大限度地发布政府信息，确保工作常态化。三是进一步加大业务培训力度。</w:t>
      </w:r>
      <w:r>
        <w:rPr>
          <w:rFonts w:ascii="仿宋_GB2312" w:eastAsia="仿宋_GB2312" w:hAnsi="sans-serif" w:cs="仿宋_GB2312" w:hint="eastAsia"/>
          <w:color w:val="000000"/>
          <w:sz w:val="31"/>
          <w:szCs w:val="31"/>
          <w:shd w:val="clear" w:color="auto" w:fill="FFFFFF"/>
        </w:rPr>
        <w:lastRenderedPageBreak/>
        <w:t>采取跟班学习、以会代训等形式，分批组织对各警种政府信息公开联络员进行培训，提升政务公开工作能力和水平。四是进一加大政府信息公开宣传力度。依托县局门户网站、公安微博、微山公安微信公众号等载体，加大对公安工作成果的宣传，扩大社会各界对公安工作知晓率，为公安工作发展创造良好氛围。</w:t>
      </w:r>
    </w:p>
    <w:p w:rsidR="00A30650" w:rsidRDefault="00685D9E">
      <w:pPr>
        <w:pStyle w:val="a3"/>
        <w:widowControl/>
        <w:shd w:val="clear" w:color="auto" w:fill="FFFFFF"/>
        <w:spacing w:beforeAutospacing="0" w:afterAutospacing="0" w:line="600" w:lineRule="atLeast"/>
        <w:ind w:firstLine="645"/>
        <w:jc w:val="both"/>
        <w:rPr>
          <w:rFonts w:ascii="sans-serif" w:eastAsia="sans-serif" w:hAnsi="sans-serif" w:cs="sans-serif"/>
          <w:color w:val="000000"/>
        </w:rPr>
      </w:pPr>
      <w:r>
        <w:rPr>
          <w:rFonts w:ascii="黑体" w:eastAsia="黑体" w:hAnsi="宋体" w:cs="黑体" w:hint="eastAsia"/>
          <w:color w:val="000000"/>
          <w:sz w:val="31"/>
          <w:szCs w:val="31"/>
          <w:shd w:val="clear" w:color="auto" w:fill="FFFFFF"/>
        </w:rPr>
        <w:t>六、其他需要报告的事项</w:t>
      </w:r>
    </w:p>
    <w:p w:rsidR="00A30650" w:rsidRDefault="00685D9E">
      <w:pPr>
        <w:pStyle w:val="a3"/>
        <w:widowControl/>
        <w:shd w:val="clear" w:color="auto" w:fill="FFFFFF"/>
        <w:spacing w:beforeAutospacing="0" w:afterAutospacing="0" w:line="600" w:lineRule="atLeast"/>
        <w:ind w:firstLine="810"/>
        <w:jc w:val="both"/>
        <w:rPr>
          <w:rFonts w:ascii="sans-serif" w:eastAsia="sans-serif" w:hAnsi="sans-serif" w:cs="sans-serif"/>
          <w:color w:val="000000"/>
        </w:rPr>
      </w:pPr>
      <w:r>
        <w:rPr>
          <w:rFonts w:ascii="仿宋_GB2312" w:eastAsia="仿宋_GB2312" w:hAnsi="sans-serif" w:cs="仿宋_GB2312" w:hint="eastAsia"/>
          <w:color w:val="000000"/>
          <w:sz w:val="31"/>
          <w:szCs w:val="31"/>
          <w:shd w:val="clear" w:color="auto" w:fill="FFFFFF"/>
        </w:rPr>
        <w:t>人大代表建议、政协委员提案办理情况。县公安局紧紧围绕县委、县政府中心工作和人大代表、政协委员关心关注的热点、难点问题，创新思路举措，积极主动办理，深入推进落实，确保办理工作优质高效。全年共承办人大代表建议9件、政协委员提案19件，已全部按规定要求进行了办理并认真回复，圆满完成了办理工作，答复满意率达到100%。</w:t>
      </w:r>
    </w:p>
    <w:p w:rsidR="00A30650" w:rsidRDefault="00685D9E">
      <w:pPr>
        <w:pStyle w:val="a3"/>
        <w:widowControl/>
        <w:shd w:val="clear" w:color="auto" w:fill="FFFFFF"/>
        <w:spacing w:beforeAutospacing="0" w:afterAutospacing="0" w:line="600" w:lineRule="atLeast"/>
        <w:jc w:val="both"/>
        <w:rPr>
          <w:rFonts w:ascii="sans-serif" w:eastAsia="sans-serif" w:hAnsi="sans-serif" w:cs="sans-serif"/>
          <w:color w:val="000000"/>
        </w:rPr>
      </w:pPr>
      <w:r>
        <w:rPr>
          <w:rStyle w:val="a4"/>
          <w:rFonts w:ascii="仿宋_GB2312" w:eastAsia="仿宋_GB2312" w:hAnsi="sans-serif" w:cs="仿宋_GB2312" w:hint="eastAsia"/>
          <w:color w:val="000000"/>
          <w:sz w:val="31"/>
          <w:szCs w:val="31"/>
          <w:shd w:val="clear" w:color="auto" w:fill="FFFFFF"/>
        </w:rPr>
        <w:t> </w:t>
      </w:r>
    </w:p>
    <w:p w:rsidR="00A30650" w:rsidRDefault="00685D9E">
      <w:pPr>
        <w:pStyle w:val="a3"/>
        <w:widowControl/>
        <w:shd w:val="clear" w:color="auto" w:fill="FFFFFF"/>
        <w:spacing w:beforeAutospacing="0" w:afterAutospacing="0" w:line="600" w:lineRule="atLeast"/>
        <w:ind w:firstLine="810"/>
        <w:jc w:val="right"/>
        <w:rPr>
          <w:rFonts w:ascii="sans-serif" w:eastAsia="sans-serif" w:hAnsi="sans-serif" w:cs="sans-serif"/>
          <w:color w:val="000000"/>
        </w:rPr>
      </w:pPr>
      <w:r>
        <w:rPr>
          <w:rStyle w:val="a4"/>
          <w:rFonts w:ascii="仿宋_GB2312" w:eastAsia="仿宋_GB2312" w:hAnsi="sans-serif" w:cs="仿宋_GB2312" w:hint="eastAsia"/>
          <w:color w:val="000000"/>
          <w:sz w:val="31"/>
          <w:szCs w:val="31"/>
          <w:shd w:val="clear" w:color="auto" w:fill="FFFFFF"/>
        </w:rPr>
        <w:t>                               </w:t>
      </w:r>
      <w:r>
        <w:rPr>
          <w:rFonts w:ascii="仿宋_GB2312" w:eastAsia="仿宋_GB2312" w:hAnsi="sans-serif" w:cs="仿宋_GB2312" w:hint="eastAsia"/>
          <w:color w:val="000000"/>
          <w:sz w:val="31"/>
          <w:szCs w:val="31"/>
          <w:shd w:val="clear" w:color="auto" w:fill="FFFFFF"/>
        </w:rPr>
        <w:t>微山县公安局</w:t>
      </w:r>
    </w:p>
    <w:p w:rsidR="00A30650" w:rsidRDefault="00685D9E">
      <w:pPr>
        <w:pStyle w:val="a3"/>
        <w:widowControl/>
        <w:shd w:val="clear" w:color="auto" w:fill="FFFFFF"/>
        <w:spacing w:beforeAutospacing="0" w:afterAutospacing="0" w:line="600" w:lineRule="atLeast"/>
        <w:jc w:val="right"/>
        <w:rPr>
          <w:rFonts w:ascii="sans-serif" w:eastAsia="sans-serif" w:hAnsi="sans-serif" w:cs="sans-serif"/>
          <w:color w:val="000000"/>
        </w:rPr>
      </w:pPr>
      <w:r>
        <w:rPr>
          <w:rFonts w:ascii="仿宋_GB2312" w:eastAsia="仿宋_GB2312" w:hAnsi="sans-serif" w:cs="仿宋_GB2312" w:hint="eastAsia"/>
          <w:color w:val="000000"/>
          <w:sz w:val="31"/>
          <w:szCs w:val="31"/>
          <w:shd w:val="clear" w:color="auto" w:fill="FFFFFF"/>
        </w:rPr>
        <w:t> </w:t>
      </w:r>
      <w:r>
        <w:rPr>
          <w:rFonts w:ascii="仿宋_GB2312" w:eastAsia="仿宋_GB2312" w:hAnsi="sans-serif" w:cs="仿宋_GB2312" w:hint="eastAsia"/>
          <w:color w:val="000000"/>
          <w:sz w:val="31"/>
          <w:szCs w:val="31"/>
          <w:shd w:val="clear" w:color="auto" w:fill="FFFFFF"/>
        </w:rPr>
        <w:t>2021年1月25日</w:t>
      </w:r>
    </w:p>
    <w:p w:rsidR="00A30650" w:rsidRDefault="00A30650">
      <w:bookmarkStart w:id="0" w:name="_GoBack"/>
      <w:bookmarkEnd w:id="0"/>
    </w:p>
    <w:sectPr w:rsidR="00A30650" w:rsidSect="00A30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D35" w:rsidRDefault="001F5D35" w:rsidP="009C4CC4">
      <w:r>
        <w:separator/>
      </w:r>
    </w:p>
  </w:endnote>
  <w:endnote w:type="continuationSeparator" w:id="0">
    <w:p w:rsidR="001F5D35" w:rsidRDefault="001F5D35" w:rsidP="009C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00000" w:csb1="00000000"/>
  </w:font>
  <w:font w:name="文星简大标宋">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D35" w:rsidRDefault="001F5D35" w:rsidP="009C4CC4">
      <w:r>
        <w:separator/>
      </w:r>
    </w:p>
  </w:footnote>
  <w:footnote w:type="continuationSeparator" w:id="0">
    <w:p w:rsidR="001F5D35" w:rsidRDefault="001F5D35" w:rsidP="009C4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0650"/>
    <w:rsid w:val="001F5D35"/>
    <w:rsid w:val="00531C3C"/>
    <w:rsid w:val="00685D9E"/>
    <w:rsid w:val="009C4CC4"/>
    <w:rsid w:val="00A30650"/>
    <w:rsid w:val="071E3986"/>
    <w:rsid w:val="25D23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6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0650"/>
    <w:pPr>
      <w:spacing w:beforeAutospacing="1" w:afterAutospacing="1"/>
      <w:jc w:val="left"/>
    </w:pPr>
    <w:rPr>
      <w:rFonts w:cs="Times New Roman"/>
      <w:kern w:val="0"/>
      <w:sz w:val="24"/>
    </w:rPr>
  </w:style>
  <w:style w:type="character" w:styleId="a4">
    <w:name w:val="Strong"/>
    <w:basedOn w:val="a0"/>
    <w:qFormat/>
    <w:rsid w:val="00A30650"/>
    <w:rPr>
      <w:b/>
    </w:rPr>
  </w:style>
  <w:style w:type="paragraph" w:styleId="a5">
    <w:name w:val="header"/>
    <w:basedOn w:val="a"/>
    <w:link w:val="Char"/>
    <w:rsid w:val="009C4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C4CC4"/>
    <w:rPr>
      <w:rFonts w:asciiTheme="minorHAnsi" w:eastAsiaTheme="minorEastAsia" w:hAnsiTheme="minorHAnsi" w:cstheme="minorBidi"/>
      <w:kern w:val="2"/>
      <w:sz w:val="18"/>
      <w:szCs w:val="18"/>
    </w:rPr>
  </w:style>
  <w:style w:type="paragraph" w:styleId="a6">
    <w:name w:val="footer"/>
    <w:basedOn w:val="a"/>
    <w:link w:val="Char0"/>
    <w:rsid w:val="009C4CC4"/>
    <w:pPr>
      <w:tabs>
        <w:tab w:val="center" w:pos="4153"/>
        <w:tab w:val="right" w:pos="8306"/>
      </w:tabs>
      <w:snapToGrid w:val="0"/>
      <w:jc w:val="left"/>
    </w:pPr>
    <w:rPr>
      <w:sz w:val="18"/>
      <w:szCs w:val="18"/>
    </w:rPr>
  </w:style>
  <w:style w:type="character" w:customStyle="1" w:styleId="Char0">
    <w:name w:val="页脚 Char"/>
    <w:basedOn w:val="a0"/>
    <w:link w:val="a6"/>
    <w:rsid w:val="009C4C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2021-05-26T03:51:00Z</dcterms:created>
  <dcterms:modified xsi:type="dcterms:W3CDTF">2021-10-12T01:13:00Z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7BA48EAA7E0F414288213B18E48FA5C7</vt:lpwstr>
  </property>
</Properties>
</file>