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val="0"/>
          <w:bCs w:val="0"/>
          <w:color w:val="auto"/>
          <w:kern w:val="2"/>
          <w:sz w:val="44"/>
          <w:szCs w:val="4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val="0"/>
          <w:bCs w:val="0"/>
          <w:color w:val="auto"/>
          <w:kern w:val="2"/>
          <w:sz w:val="44"/>
          <w:szCs w:val="44"/>
          <w:u w:val="none"/>
          <w:lang w:val="en-US" w:eastAsia="zh-CN" w:bidi="ar-SA"/>
        </w:rPr>
      </w:pPr>
      <w:r>
        <w:rPr>
          <w:rFonts w:hint="eastAsia" w:ascii="Times New Roman" w:hAnsi="Times New Roman" w:eastAsia="方正小标宋简体" w:cs="Times New Roman"/>
          <w:b w:val="0"/>
          <w:bCs w:val="0"/>
          <w:color w:val="auto"/>
          <w:kern w:val="2"/>
          <w:sz w:val="44"/>
          <w:szCs w:val="44"/>
          <w:u w:val="none"/>
          <w:lang w:val="en-US" w:eastAsia="zh-CN" w:bidi="ar-SA"/>
        </w:rPr>
        <w:t>微山县检验检测中心2022年政府信息公开工作年度报告</w:t>
      </w:r>
      <w:bookmarkStart w:id="0" w:name="_GoBack"/>
      <w:bookmarkEnd w:id="0"/>
    </w:p>
    <w:p>
      <w:pPr>
        <w:pStyle w:val="2"/>
        <w:rPr>
          <w:rFonts w:hint="eastAsia"/>
          <w:lang w:val="en-US" w:eastAsia="zh-CN"/>
        </w:rPr>
      </w:pPr>
    </w:p>
    <w:p>
      <w:pPr>
        <w:spacing w:line="590" w:lineRule="exact"/>
        <w:ind w:right="-105" w:rightChars="-5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本报告由</w:t>
      </w:r>
      <w:r>
        <w:rPr>
          <w:rFonts w:hint="eastAsia" w:ascii="仿宋" w:hAnsi="仿宋" w:eastAsia="仿宋" w:cs="仿宋"/>
          <w:b w:val="0"/>
          <w:bCs w:val="0"/>
          <w:color w:val="000000" w:themeColor="text1"/>
          <w:sz w:val="32"/>
          <w:szCs w:val="32"/>
          <w:lang w:val="en-US" w:eastAsia="zh-CN"/>
          <w14:textFill>
            <w14:solidFill>
              <w14:schemeClr w14:val="tx1"/>
            </w14:solidFill>
          </w14:textFill>
        </w:rPr>
        <w:t>微山县检验检测中心</w:t>
      </w:r>
      <w:r>
        <w:rPr>
          <w:rFonts w:hint="eastAsia" w:ascii="仿宋" w:hAnsi="仿宋" w:eastAsia="仿宋" w:cs="仿宋"/>
          <w:b w:val="0"/>
          <w:bCs w:val="0"/>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5" w:rightChars="-5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本报告所列数据的统计期限自202</w:t>
      </w: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14:textFill>
            <w14:solidFill>
              <w14:schemeClr w14:val="tx1"/>
            </w14:solidFill>
          </w14:textFill>
        </w:rPr>
        <w:t>年1月1日起至202</w:t>
      </w: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14:textFill>
            <w14:solidFill>
              <w14:schemeClr w14:val="tx1"/>
            </w14:solidFill>
          </w14:textFill>
        </w:rPr>
        <w:t>年12月31日止。本报告电子版可在“中国·济宁”政府门户网站（http://www.weishan.gov.cn/）查阅或下载。如对本报告有疑问，请与</w:t>
      </w:r>
      <w:r>
        <w:rPr>
          <w:rFonts w:hint="eastAsia" w:ascii="仿宋" w:hAnsi="仿宋" w:eastAsia="仿宋" w:cs="仿宋"/>
          <w:b w:val="0"/>
          <w:bCs w:val="0"/>
          <w:color w:val="000000" w:themeColor="text1"/>
          <w:sz w:val="32"/>
          <w:szCs w:val="32"/>
          <w:lang w:val="en-US" w:eastAsia="zh-CN"/>
          <w14:textFill>
            <w14:solidFill>
              <w14:schemeClr w14:val="tx1"/>
            </w14:solidFill>
          </w14:textFill>
        </w:rPr>
        <w:t>微山县检验检测中心</w:t>
      </w:r>
      <w:r>
        <w:rPr>
          <w:rFonts w:hint="eastAsia" w:ascii="仿宋" w:hAnsi="仿宋" w:eastAsia="仿宋" w:cs="仿宋"/>
          <w:b w:val="0"/>
          <w:bCs w:val="0"/>
          <w:color w:val="000000" w:themeColor="text1"/>
          <w:sz w:val="32"/>
          <w:szCs w:val="32"/>
          <w14:textFill>
            <w14:solidFill>
              <w14:schemeClr w14:val="tx1"/>
            </w14:solidFill>
          </w14:textFill>
        </w:rPr>
        <w:t>联系（地址：</w:t>
      </w:r>
      <w:r>
        <w:rPr>
          <w:rFonts w:hint="eastAsia" w:ascii="仿宋" w:hAnsi="仿宋" w:eastAsia="仿宋" w:cs="仿宋"/>
          <w:b w:val="0"/>
          <w:bCs w:val="0"/>
          <w:color w:val="000000" w:themeColor="text1"/>
          <w:sz w:val="32"/>
          <w:szCs w:val="32"/>
          <w:lang w:val="en-US" w:eastAsia="zh-CN"/>
          <w14:textFill>
            <w14:solidFill>
              <w14:schemeClr w14:val="tx1"/>
            </w14:solidFill>
          </w14:textFill>
        </w:rPr>
        <w:t>金源东路15号创达高科园4号楼3楼</w:t>
      </w:r>
      <w:r>
        <w:rPr>
          <w:rFonts w:hint="eastAsia" w:ascii="仿宋" w:hAnsi="仿宋" w:eastAsia="仿宋" w:cs="仿宋"/>
          <w:b w:val="0"/>
          <w:bCs w:val="0"/>
          <w:color w:val="000000" w:themeColor="text1"/>
          <w:sz w:val="32"/>
          <w:szCs w:val="32"/>
          <w14:textFill>
            <w14:solidFill>
              <w14:schemeClr w14:val="tx1"/>
            </w14:solidFill>
          </w14:textFill>
        </w:rPr>
        <w:t>，联系电话：0537-</w:t>
      </w:r>
      <w:r>
        <w:rPr>
          <w:rFonts w:hint="eastAsia" w:ascii="仿宋" w:hAnsi="仿宋" w:eastAsia="仿宋" w:cs="仿宋"/>
          <w:b w:val="0"/>
          <w:bCs w:val="0"/>
          <w:color w:val="000000" w:themeColor="text1"/>
          <w:sz w:val="32"/>
          <w:szCs w:val="32"/>
          <w:lang w:val="en-US" w:eastAsia="zh-CN"/>
          <w14:textFill>
            <w14:solidFill>
              <w14:schemeClr w14:val="tx1"/>
            </w14:solidFill>
          </w14:textFill>
        </w:rPr>
        <w:t>8233100</w:t>
      </w:r>
      <w:r>
        <w:rPr>
          <w:rFonts w:hint="eastAsia" w:ascii="仿宋" w:hAnsi="仿宋" w:eastAsia="仿宋" w:cs="仿宋"/>
          <w:b w:val="0"/>
          <w:bCs w:val="0"/>
          <w:color w:val="000000" w:themeColor="text1"/>
          <w:sz w:val="32"/>
          <w:szCs w:val="32"/>
          <w14:textFill>
            <w14:solidFill>
              <w14:schemeClr w14:val="tx1"/>
            </w14:solidFill>
          </w14:textFill>
        </w:rPr>
        <w:t>）。</w:t>
      </w:r>
    </w:p>
    <w:p>
      <w:pPr>
        <w:spacing w:line="600" w:lineRule="exact"/>
        <w:ind w:firstLine="640" w:firstLineChars="200"/>
        <w:rPr>
          <w:rFonts w:hint="eastAsia" w:ascii="Times New Roman" w:hAnsi="Times New Roman" w:eastAsia="方正黑体简体" w:cs="Times New Roman"/>
          <w:b w:val="0"/>
          <w:bCs w:val="0"/>
          <w:color w:val="auto"/>
          <w:sz w:val="32"/>
          <w:szCs w:val="32"/>
          <w:u w:val="none"/>
          <w:lang w:val="en-US" w:eastAsia="zh-CN"/>
        </w:rPr>
      </w:pPr>
      <w:r>
        <w:rPr>
          <w:rFonts w:hint="eastAsia" w:ascii="Times New Roman" w:hAnsi="Times New Roman" w:eastAsia="方正黑体简体" w:cs="Times New Roman"/>
          <w:b w:val="0"/>
          <w:bCs w:val="0"/>
          <w:color w:val="auto"/>
          <w:sz w:val="32"/>
          <w:szCs w:val="32"/>
          <w:u w:val="none"/>
          <w:lang w:val="en-US" w:eastAsia="zh-CN"/>
        </w:rPr>
        <w:t>一、总体情况</w:t>
      </w:r>
    </w:p>
    <w:p>
      <w:pPr>
        <w:spacing w:line="590" w:lineRule="exact"/>
        <w:ind w:right="-105" w:rightChars="-50"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2022年度检验检测中心政府信息公开内容更加全面，包括主动公开、依申请公开、政府信息管理、平台建设、监督保障等方面。其中全年累计主动公开政府信息9条，其中主动公开规范性文件信息0条，制法规范性文件总数0条；主要通过政府网站公开政府信息数9条，政策解读稿件发布0条，截至目前，全年累计受理依申请公开政府信息0件。</w:t>
      </w:r>
    </w:p>
    <w:p>
      <w:pPr>
        <w:numPr>
          <w:ilvl w:val="0"/>
          <w:numId w:val="0"/>
        </w:numPr>
        <w:spacing w:line="600" w:lineRule="exact"/>
        <w:ind w:firstLine="640" w:firstLineChars="200"/>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（一）主动公开情况</w:t>
      </w:r>
    </w:p>
    <w:p>
      <w:pPr>
        <w:spacing w:line="240" w:lineRule="auto"/>
        <w:ind w:right="-105" w:rightChars="-50" w:firstLine="640" w:firstLineChars="200"/>
        <w:rPr>
          <w:rFonts w:hint="eastAsia" w:ascii="仿宋" w:hAnsi="仿宋" w:eastAsia="仿宋" w:cs="仿宋"/>
          <w:b w:val="0"/>
          <w:bCs w:val="0"/>
          <w:i w:val="0"/>
          <w:iCs w:val="0"/>
          <w:caps w:val="0"/>
          <w:color w:val="333333"/>
          <w:spacing w:val="0"/>
          <w:sz w:val="32"/>
          <w:szCs w:val="32"/>
          <w:lang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微山县检验检测中心全年累计主动公开政府信息9条。其中包括政策文件、机构职能、会议公开、决策公开、执行和结果公开、等相关类别。以下是部分政府信息公开截图</w:t>
      </w:r>
      <w:r>
        <w:rPr>
          <w:rFonts w:hint="eastAsia" w:ascii="仿宋" w:hAnsi="仿宋" w:eastAsia="仿宋" w:cs="仿宋"/>
          <w:b w:val="0"/>
          <w:bCs w:val="0"/>
          <w:i w:val="0"/>
          <w:iCs w:val="0"/>
          <w:caps w:val="0"/>
          <w:color w:val="333333"/>
          <w:spacing w:val="0"/>
          <w:sz w:val="32"/>
          <w:szCs w:val="32"/>
        </w:rPr>
        <w:t>：</w:t>
      </w:r>
      <w:r>
        <w:drawing>
          <wp:inline distT="0" distB="0" distL="114300" distR="114300">
            <wp:extent cx="5270500" cy="332867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0500" cy="3328670"/>
                    </a:xfrm>
                    <a:prstGeom prst="rect">
                      <a:avLst/>
                    </a:prstGeom>
                    <a:noFill/>
                    <a:ln>
                      <a:noFill/>
                    </a:ln>
                  </pic:spPr>
                </pic:pic>
              </a:graphicData>
            </a:graphic>
          </wp:inline>
        </w:drawing>
      </w:r>
    </w:p>
    <w:p>
      <w:pPr>
        <w:spacing w:line="240" w:lineRule="auto"/>
        <w:ind w:right="-105" w:rightChars="-50" w:firstLine="640" w:firstLineChars="200"/>
        <w:rPr>
          <w:rFonts w:hint="eastAsia" w:ascii="仿宋" w:hAnsi="仿宋" w:eastAsia="仿宋" w:cs="仿宋"/>
          <w:b w:val="0"/>
          <w:bCs w:val="0"/>
          <w:i w:val="0"/>
          <w:iCs w:val="0"/>
          <w:caps w:val="0"/>
          <w:color w:val="333333"/>
          <w:spacing w:val="0"/>
          <w:sz w:val="32"/>
          <w:szCs w:val="32"/>
          <w:lang w:val="en-US" w:eastAsia="zh-CN"/>
        </w:rPr>
      </w:pPr>
      <w:r>
        <w:rPr>
          <w:rFonts w:hint="eastAsia" w:ascii="仿宋" w:hAnsi="仿宋" w:eastAsia="仿宋" w:cs="仿宋"/>
          <w:b w:val="0"/>
          <w:bCs w:val="0"/>
          <w:i w:val="0"/>
          <w:iCs w:val="0"/>
          <w:caps w:val="0"/>
          <w:color w:val="333333"/>
          <w:spacing w:val="0"/>
          <w:sz w:val="32"/>
          <w:szCs w:val="32"/>
          <w:lang w:val="en-US" w:eastAsia="zh-CN"/>
        </w:rPr>
        <w:t xml:space="preserve">   </w:t>
      </w:r>
      <w:r>
        <w:drawing>
          <wp:inline distT="0" distB="0" distL="114300" distR="114300">
            <wp:extent cx="5266690" cy="1891665"/>
            <wp:effectExtent l="0" t="0" r="635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6690" cy="1891665"/>
                    </a:xfrm>
                    <a:prstGeom prst="rect">
                      <a:avLst/>
                    </a:prstGeom>
                    <a:noFill/>
                    <a:ln>
                      <a:noFill/>
                    </a:ln>
                  </pic:spPr>
                </pic:pic>
              </a:graphicData>
            </a:graphic>
          </wp:inline>
        </w:drawing>
      </w:r>
    </w:p>
    <w:p>
      <w:pPr>
        <w:spacing w:line="240" w:lineRule="auto"/>
        <w:ind w:right="-105" w:rightChars="-50" w:firstLine="420" w:firstLineChars="200"/>
      </w:pPr>
      <w:r>
        <w:drawing>
          <wp:inline distT="0" distB="0" distL="114300" distR="114300">
            <wp:extent cx="5267960" cy="4411345"/>
            <wp:effectExtent l="0" t="0" r="508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67960" cy="4411345"/>
                    </a:xfrm>
                    <a:prstGeom prst="rect">
                      <a:avLst/>
                    </a:prstGeom>
                    <a:noFill/>
                    <a:ln>
                      <a:noFill/>
                    </a:ln>
                  </pic:spPr>
                </pic:pic>
              </a:graphicData>
            </a:graphic>
          </wp:inline>
        </w:drawing>
      </w:r>
    </w:p>
    <w:p>
      <w:pPr>
        <w:pStyle w:val="2"/>
        <w:jc w:val="center"/>
        <w:rPr>
          <w:rFonts w:hint="eastAsia"/>
          <w:lang w:eastAsia="zh-CN"/>
        </w:rPr>
      </w:pPr>
      <w:r>
        <w:rPr>
          <w:rFonts w:ascii="sans-serif" w:hAnsi="sans-serif" w:eastAsia="sans-serif" w:cs="sans-serif"/>
          <w:i w:val="0"/>
          <w:iCs w:val="0"/>
          <w:caps w:val="0"/>
          <w:color w:val="000000"/>
          <w:spacing w:val="0"/>
          <w:sz w:val="19"/>
          <w:szCs w:val="19"/>
        </w:rPr>
        <w:drawing>
          <wp:inline distT="0" distB="0" distL="114300" distR="114300">
            <wp:extent cx="5734050" cy="3543300"/>
            <wp:effectExtent l="0" t="0" r="11430" b="762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8"/>
                    <a:stretch>
                      <a:fillRect/>
                    </a:stretch>
                  </pic:blipFill>
                  <pic:spPr>
                    <a:xfrm>
                      <a:off x="0" y="0"/>
                      <a:ext cx="5734050" cy="3543300"/>
                    </a:xfrm>
                    <a:prstGeom prst="rect">
                      <a:avLst/>
                    </a:prstGeom>
                    <a:noFill/>
                    <a:ln w="9525">
                      <a:noFill/>
                    </a:ln>
                  </pic:spPr>
                </pic:pic>
              </a:graphicData>
            </a:graphic>
          </wp:inline>
        </w:drawing>
      </w:r>
    </w:p>
    <w:p>
      <w:pPr>
        <w:numPr>
          <w:ilvl w:val="0"/>
          <w:numId w:val="0"/>
        </w:numPr>
        <w:spacing w:line="600" w:lineRule="exact"/>
        <w:ind w:firstLine="640" w:firstLineChars="200"/>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（二）依申请公开情况</w:t>
      </w:r>
    </w:p>
    <w:p>
      <w:pPr>
        <w:spacing w:line="590" w:lineRule="exact"/>
        <w:ind w:right="-105" w:rightChars="-5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14:textFill>
            <w14:solidFill>
              <w14:schemeClr w14:val="tx1"/>
            </w14:solidFill>
          </w14:textFill>
        </w:rPr>
        <w:t>02</w:t>
      </w: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14:textFill>
            <w14:solidFill>
              <w14:schemeClr w14:val="tx1"/>
            </w14:solidFill>
          </w14:textFill>
        </w:rPr>
        <w:t>年微山县</w:t>
      </w:r>
      <w:r>
        <w:rPr>
          <w:rFonts w:hint="eastAsia" w:ascii="仿宋" w:hAnsi="仿宋" w:eastAsia="仿宋" w:cs="仿宋"/>
          <w:b w:val="0"/>
          <w:bCs w:val="0"/>
          <w:color w:val="000000" w:themeColor="text1"/>
          <w:sz w:val="32"/>
          <w:szCs w:val="32"/>
          <w:lang w:val="en-US" w:eastAsia="zh-CN"/>
          <w14:textFill>
            <w14:solidFill>
              <w14:schemeClr w14:val="tx1"/>
            </w14:solidFill>
          </w14:textFill>
        </w:rPr>
        <w:t>检验检测</w:t>
      </w:r>
      <w:r>
        <w:rPr>
          <w:rFonts w:hint="eastAsia" w:ascii="仿宋" w:hAnsi="仿宋" w:eastAsia="仿宋" w:cs="仿宋"/>
          <w:b w:val="0"/>
          <w:bCs w:val="0"/>
          <w:color w:val="000000" w:themeColor="text1"/>
          <w:sz w:val="32"/>
          <w:szCs w:val="32"/>
          <w14:textFill>
            <w14:solidFill>
              <w14:schemeClr w14:val="tx1"/>
            </w14:solidFill>
          </w14:textFill>
        </w:rPr>
        <w:t>中心认真履行政府信息公开申请受理义务，截止目前，</w:t>
      </w:r>
      <w:r>
        <w:rPr>
          <w:rFonts w:hint="eastAsia" w:ascii="仿宋" w:hAnsi="仿宋" w:eastAsia="仿宋" w:cs="仿宋"/>
          <w:b w:val="0"/>
          <w:bCs w:val="0"/>
          <w:color w:val="000000" w:themeColor="text1"/>
          <w:sz w:val="32"/>
          <w:szCs w:val="32"/>
          <w:lang w:val="en-US" w:eastAsia="zh-CN"/>
          <w14:textFill>
            <w14:solidFill>
              <w14:schemeClr w14:val="tx1"/>
            </w14:solidFill>
          </w14:textFill>
        </w:rPr>
        <w:t>检验检测</w:t>
      </w:r>
      <w:r>
        <w:rPr>
          <w:rFonts w:hint="eastAsia" w:ascii="仿宋" w:hAnsi="仿宋" w:eastAsia="仿宋" w:cs="仿宋"/>
          <w:b w:val="0"/>
          <w:bCs w:val="0"/>
          <w:color w:val="000000" w:themeColor="text1"/>
          <w:sz w:val="32"/>
          <w:szCs w:val="32"/>
          <w14:textFill>
            <w14:solidFill>
              <w14:schemeClr w14:val="tx1"/>
            </w14:solidFill>
          </w14:textFill>
        </w:rPr>
        <w:t>中心全年累计受理依申请公开政府信息0件，按时办结0件，且没有发生政府信息公开的收费情况</w:t>
      </w:r>
      <w:r>
        <w:rPr>
          <w:rFonts w:hint="eastAsia" w:ascii="仿宋" w:hAnsi="仿宋" w:eastAsia="仿宋" w:cs="仿宋"/>
          <w:b w:val="0"/>
          <w:bCs w:val="0"/>
          <w:i w:val="0"/>
          <w:iCs w:val="0"/>
          <w:caps w:val="0"/>
          <w:color w:val="333333"/>
          <w:spacing w:val="0"/>
          <w:sz w:val="32"/>
          <w:szCs w:val="32"/>
        </w:rPr>
        <w:t>。</w:t>
      </w:r>
    </w:p>
    <w:p>
      <w:pPr>
        <w:numPr>
          <w:ilvl w:val="0"/>
          <w:numId w:val="1"/>
        </w:numPr>
        <w:spacing w:line="600" w:lineRule="exact"/>
        <w:ind w:firstLine="640" w:firstLineChars="200"/>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政府信息管理情况</w:t>
      </w:r>
    </w:p>
    <w:p>
      <w:pPr>
        <w:spacing w:line="590" w:lineRule="exact"/>
        <w:ind w:right="-105" w:rightChars="-50"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2022年，坚持传统载体和新兴媒体相结合，多渠道，全方位公开发布政府信息，及时解决群众反映强烈的热点难点问题。利用门户网站等，加大热点问题等宣传力度，快速反应、主动发声。</w:t>
      </w:r>
    </w:p>
    <w:p>
      <w:pPr>
        <w:numPr>
          <w:ilvl w:val="0"/>
          <w:numId w:val="0"/>
        </w:numPr>
        <w:spacing w:line="600" w:lineRule="exact"/>
        <w:ind w:firstLine="640" w:firstLineChars="200"/>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（四）政府信息公开平台建设情况</w:t>
      </w:r>
    </w:p>
    <w:p>
      <w:pPr>
        <w:keepNext w:val="0"/>
        <w:keepLines w:val="0"/>
        <w:pageBreakBefore w:val="0"/>
        <w:widowControl w:val="0"/>
        <w:kinsoku/>
        <w:wordWrap/>
        <w:overflowPunct/>
        <w:topLinePunct w:val="0"/>
        <w:autoSpaceDE/>
        <w:autoSpaceDN/>
        <w:bidi w:val="0"/>
        <w:adjustRightInd/>
        <w:snapToGrid/>
        <w:spacing w:line="590" w:lineRule="exact"/>
        <w:ind w:right="-105" w:rightChars="-50"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检验检测</w:t>
      </w:r>
      <w:r>
        <w:rPr>
          <w:rFonts w:hint="eastAsia" w:ascii="仿宋" w:hAnsi="仿宋" w:eastAsia="仿宋" w:cs="仿宋"/>
          <w:b w:val="0"/>
          <w:bCs w:val="0"/>
          <w:color w:val="000000" w:themeColor="text1"/>
          <w:sz w:val="32"/>
          <w:szCs w:val="32"/>
          <w14:textFill>
            <w14:solidFill>
              <w14:schemeClr w14:val="tx1"/>
            </w14:solidFill>
          </w14:textFill>
        </w:rPr>
        <w:t>中心本年度政府信息公开主要包括政策法规、机构职能、会议公开、决策公等等，共计</w:t>
      </w:r>
      <w:r>
        <w:rPr>
          <w:rFonts w:hint="eastAsia" w:ascii="仿宋" w:hAnsi="仿宋" w:eastAsia="仿宋" w:cs="仿宋"/>
          <w:b w:val="0"/>
          <w:bCs w:val="0"/>
          <w:color w:val="000000" w:themeColor="text1"/>
          <w:sz w:val="32"/>
          <w:szCs w:val="32"/>
          <w:lang w:val="en-US" w:eastAsia="zh-CN"/>
          <w14:textFill>
            <w14:solidFill>
              <w14:schemeClr w14:val="tx1"/>
            </w14:solidFill>
          </w14:textFill>
        </w:rPr>
        <w:t>9</w:t>
      </w:r>
      <w:r>
        <w:rPr>
          <w:rFonts w:hint="eastAsia" w:ascii="仿宋" w:hAnsi="仿宋" w:eastAsia="仿宋" w:cs="仿宋"/>
          <w:b w:val="0"/>
          <w:bCs w:val="0"/>
          <w:color w:val="000000" w:themeColor="text1"/>
          <w:sz w:val="32"/>
          <w:szCs w:val="32"/>
          <w14:textFill>
            <w14:solidFill>
              <w14:schemeClr w14:val="tx1"/>
            </w14:solidFill>
          </w14:textFill>
        </w:rPr>
        <w:t>余条。主要通过微山县政府门户网站发布政府信息。</w:t>
      </w:r>
    </w:p>
    <w:p>
      <w:pPr>
        <w:numPr>
          <w:ilvl w:val="0"/>
          <w:numId w:val="0"/>
        </w:numPr>
        <w:spacing w:line="600" w:lineRule="exact"/>
        <w:ind w:firstLine="640" w:firstLineChars="200"/>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（五）监督保障情况</w:t>
      </w:r>
    </w:p>
    <w:p>
      <w:pPr>
        <w:spacing w:line="590" w:lineRule="exact"/>
        <w:ind w:right="-105" w:rightChars="-5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检验检测</w:t>
      </w:r>
      <w:r>
        <w:rPr>
          <w:rFonts w:hint="eastAsia" w:ascii="仿宋" w:hAnsi="仿宋" w:eastAsia="仿宋" w:cs="仿宋"/>
          <w:b w:val="0"/>
          <w:bCs w:val="0"/>
          <w:color w:val="000000" w:themeColor="text1"/>
          <w:sz w:val="32"/>
          <w:szCs w:val="32"/>
          <w14:textFill>
            <w14:solidFill>
              <w14:schemeClr w14:val="tx1"/>
            </w14:solidFill>
          </w14:textFill>
        </w:rPr>
        <w:t>中心政务公开业务人员参加全县政务公开业务培训会议，提升政务公开能力。根据微山县政府下发的《关于开展202</w:t>
      </w: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14:textFill>
            <w14:solidFill>
              <w14:schemeClr w14:val="tx1"/>
            </w14:solidFill>
          </w14:textFill>
        </w:rPr>
        <w:t>年度全县政务公开工作评估考核的通知》将政府信息公开内容更加全面。</w:t>
      </w:r>
    </w:p>
    <w:p>
      <w:pPr>
        <w:spacing w:line="600" w:lineRule="exact"/>
        <w:ind w:firstLine="640" w:firstLineChars="200"/>
        <w:rPr>
          <w:rFonts w:hint="eastAsia" w:ascii="Times New Roman" w:hAnsi="Times New Roman" w:eastAsia="方正黑体简体" w:cs="Times New Roman"/>
          <w:b w:val="0"/>
          <w:bCs w:val="0"/>
          <w:color w:val="auto"/>
          <w:sz w:val="32"/>
          <w:szCs w:val="32"/>
          <w:u w:val="none"/>
          <w:lang w:val="en-US" w:eastAsia="zh-CN"/>
        </w:rPr>
      </w:pPr>
      <w:r>
        <w:rPr>
          <w:rFonts w:hint="eastAsia" w:ascii="Times New Roman" w:hAnsi="Times New Roman" w:eastAsia="方正黑体简体" w:cs="Times New Roman"/>
          <w:b w:val="0"/>
          <w:bCs w:val="0"/>
          <w:color w:val="auto"/>
          <w:sz w:val="32"/>
          <w:szCs w:val="32"/>
          <w:u w:val="none"/>
          <w:lang w:val="en-US" w:eastAsia="zh-CN"/>
        </w:rPr>
        <w:t>二、主动公开政府信息情况</w:t>
      </w:r>
    </w:p>
    <w:tbl>
      <w:tblPr>
        <w:tblStyle w:val="8"/>
        <w:tblW w:w="8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15.0065</w:t>
            </w:r>
          </w:p>
        </w:tc>
      </w:tr>
    </w:tbl>
    <w:p>
      <w:pPr>
        <w:spacing w:line="600" w:lineRule="exact"/>
        <w:ind w:firstLine="640" w:firstLineChars="200"/>
        <w:rPr>
          <w:rFonts w:hint="eastAsia" w:ascii="Times New Roman" w:hAnsi="Times New Roman" w:eastAsia="方正黑体简体" w:cs="Times New Roman"/>
          <w:b w:val="0"/>
          <w:bCs w:val="0"/>
          <w:color w:val="auto"/>
          <w:sz w:val="32"/>
          <w:szCs w:val="32"/>
          <w:u w:val="none"/>
          <w:lang w:val="en-US" w:eastAsia="zh-CN"/>
        </w:rPr>
      </w:pPr>
      <w:r>
        <w:rPr>
          <w:rFonts w:hint="eastAsia" w:ascii="Times New Roman" w:hAnsi="Times New Roman" w:eastAsia="方正黑体简体" w:cs="Times New Roman"/>
          <w:b w:val="0"/>
          <w:bCs w:val="0"/>
          <w:color w:val="auto"/>
          <w:sz w:val="32"/>
          <w:szCs w:val="32"/>
          <w:u w:val="none"/>
          <w:lang w:val="en-US" w:eastAsia="zh-CN"/>
        </w:rPr>
        <w:t>三、收到和处理政府信息公开申请情况</w:t>
      </w:r>
    </w:p>
    <w:tbl>
      <w:tblPr>
        <w:tblStyle w:val="8"/>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eastAsia" w:ascii="仿宋" w:hAnsi="仿宋" w:eastAsia="仿宋" w:cs="仿宋"/>
                <w:b w:val="0"/>
                <w:bCs w:val="0"/>
                <w:sz w:val="32"/>
                <w:szCs w:val="32"/>
              </w:rPr>
            </w:pPr>
          </w:p>
        </w:tc>
        <w:tc>
          <w:tcPr>
            <w:tcW w:w="791" w:type="dxa"/>
            <w:vMerge w:val="restart"/>
            <w:tcMar>
              <w:left w:w="57" w:type="dxa"/>
              <w:right w:w="57" w:type="dxa"/>
            </w:tcMar>
            <w:vAlign w:val="center"/>
          </w:tcPr>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自然人</w:t>
            </w:r>
          </w:p>
        </w:tc>
        <w:tc>
          <w:tcPr>
            <w:tcW w:w="2917" w:type="dxa"/>
            <w:gridSpan w:val="5"/>
            <w:tcMar>
              <w:left w:w="57" w:type="dxa"/>
              <w:right w:w="57" w:type="dxa"/>
            </w:tcMar>
            <w:vAlign w:val="center"/>
          </w:tcPr>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法人或其他组织</w:t>
            </w:r>
          </w:p>
        </w:tc>
        <w:tc>
          <w:tcPr>
            <w:tcW w:w="521" w:type="dxa"/>
            <w:vMerge w:val="restart"/>
            <w:tcMar>
              <w:left w:w="57" w:type="dxa"/>
              <w:right w:w="57" w:type="dxa"/>
            </w:tcMar>
            <w:vAlign w:val="center"/>
          </w:tcPr>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eastAsia" w:ascii="仿宋" w:hAnsi="仿宋" w:eastAsia="仿宋" w:cs="仿宋"/>
                <w:b w:val="0"/>
                <w:bCs w:val="0"/>
                <w:sz w:val="32"/>
                <w:szCs w:val="32"/>
              </w:rPr>
            </w:pPr>
          </w:p>
        </w:tc>
        <w:tc>
          <w:tcPr>
            <w:tcW w:w="791"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59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商业</w:t>
            </w:r>
          </w:p>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企业</w:t>
            </w:r>
          </w:p>
        </w:tc>
        <w:tc>
          <w:tcPr>
            <w:tcW w:w="590"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科研</w:t>
            </w:r>
          </w:p>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机构</w:t>
            </w:r>
          </w:p>
        </w:tc>
        <w:tc>
          <w:tcPr>
            <w:tcW w:w="598"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社会公益组织</w:t>
            </w:r>
          </w:p>
        </w:tc>
        <w:tc>
          <w:tcPr>
            <w:tcW w:w="57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法律服务机构</w:t>
            </w:r>
          </w:p>
        </w:tc>
        <w:tc>
          <w:tcPr>
            <w:tcW w:w="55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其他</w:t>
            </w:r>
          </w:p>
        </w:tc>
        <w:tc>
          <w:tcPr>
            <w:tcW w:w="521"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bidi="ar"/>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68" w:type="dxa"/>
            <w:vMerge w:val="restart"/>
            <w:tcMar>
              <w:left w:w="57" w:type="dxa"/>
              <w:right w:w="57" w:type="dxa"/>
            </w:tcMar>
            <w:vAlign w:val="cente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三、本年度办理结果</w:t>
            </w:r>
          </w:p>
        </w:tc>
        <w:tc>
          <w:tcPr>
            <w:tcW w:w="3820" w:type="dxa"/>
            <w:gridSpan w:val="2"/>
            <w:tcMar>
              <w:left w:w="57" w:type="dxa"/>
              <w:right w:w="57" w:type="dxa"/>
            </w:tcMar>
            <w:vAlign w:val="cente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（一）予以公开</w:t>
            </w:r>
          </w:p>
        </w:tc>
        <w:tc>
          <w:tcPr>
            <w:tcW w:w="79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3820" w:type="dxa"/>
            <w:gridSpan w:val="2"/>
            <w:tcMar>
              <w:left w:w="57" w:type="dxa"/>
              <w:right w:w="57" w:type="dxa"/>
            </w:tcMar>
            <w:vAlign w:val="cente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lang w:val="en-US" w:eastAsia="zh-CN"/>
              </w:rPr>
            </w:pPr>
          </w:p>
          <w:p>
            <w:pPr>
              <w:pStyle w:val="2"/>
              <w:ind w:left="0" w:leftChars="0" w:firstLine="0" w:firstLineChars="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restart"/>
            <w:tcMar>
              <w:left w:w="57" w:type="dxa"/>
              <w:right w:w="57" w:type="dxa"/>
            </w:tcMar>
            <w:vAlign w:val="cente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（三）不予公开</w:t>
            </w:r>
          </w:p>
        </w:tc>
        <w:tc>
          <w:tcPr>
            <w:tcW w:w="2878" w:type="dxa"/>
            <w:tcMar>
              <w:left w:w="57" w:type="dxa"/>
              <w:right w:w="57" w:type="dxa"/>
            </w:tcMa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1.属于国家秘密</w:t>
            </w:r>
          </w:p>
        </w:tc>
        <w:tc>
          <w:tcPr>
            <w:tcW w:w="79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9" w:type="dxa"/>
            <w:tcMar>
              <w:left w:w="57" w:type="dxa"/>
              <w:right w:w="57" w:type="dxa"/>
            </w:tcMar>
          </w:tcPr>
          <w:p>
            <w:pPr>
              <w:widowControl/>
              <w:spacing w:line="300" w:lineRule="exact"/>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bidi="ar"/>
              </w:rPr>
              <w:t>0</w:t>
            </w:r>
          </w:p>
        </w:tc>
        <w:tc>
          <w:tcPr>
            <w:tcW w:w="590"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8"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5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2878" w:type="dxa"/>
            <w:tcMar>
              <w:left w:w="57" w:type="dxa"/>
              <w:right w:w="57" w:type="dxa"/>
            </w:tcMa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2.其他法律行政法规禁止公开</w:t>
            </w:r>
          </w:p>
        </w:tc>
        <w:tc>
          <w:tcPr>
            <w:tcW w:w="791" w:type="dxa"/>
            <w:tcMar>
              <w:left w:w="57" w:type="dxa"/>
              <w:right w:w="57" w:type="dxa"/>
            </w:tcMar>
          </w:tcPr>
          <w:p>
            <w:pPr>
              <w:widowControl/>
              <w:spacing w:line="300" w:lineRule="exact"/>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0"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7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2878" w:type="dxa"/>
            <w:tcMar>
              <w:left w:w="57" w:type="dxa"/>
              <w:right w:w="57" w:type="dxa"/>
            </w:tcMa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3.危及“三安全一稳定”</w:t>
            </w:r>
          </w:p>
        </w:tc>
        <w:tc>
          <w:tcPr>
            <w:tcW w:w="791" w:type="dxa"/>
            <w:tcMar>
              <w:left w:w="57" w:type="dxa"/>
              <w:right w:w="57" w:type="dxa"/>
            </w:tcMar>
          </w:tcPr>
          <w:p>
            <w:pPr>
              <w:widowControl/>
              <w:spacing w:line="300" w:lineRule="exact"/>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tcPr>
          <w:p>
            <w:pPr>
              <w:widowControl/>
              <w:spacing w:line="300" w:lineRule="exact"/>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bidi="ar"/>
              </w:rPr>
              <w:t>0</w:t>
            </w:r>
          </w:p>
        </w:tc>
        <w:tc>
          <w:tcPr>
            <w:tcW w:w="590"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8"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7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2878" w:type="dxa"/>
            <w:tcMar>
              <w:left w:w="57" w:type="dxa"/>
              <w:right w:w="57" w:type="dxa"/>
            </w:tcMa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4.保护第三方合法权益</w:t>
            </w:r>
          </w:p>
        </w:tc>
        <w:tc>
          <w:tcPr>
            <w:tcW w:w="791" w:type="dxa"/>
            <w:tcMar>
              <w:left w:w="57" w:type="dxa"/>
              <w:right w:w="57" w:type="dxa"/>
            </w:tcMar>
          </w:tcPr>
          <w:p>
            <w:pPr>
              <w:widowControl/>
              <w:spacing w:line="300" w:lineRule="exact"/>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0"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tcPr>
          <w:p>
            <w:pPr>
              <w:widowControl/>
              <w:spacing w:line="300" w:lineRule="exact"/>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bidi="ar"/>
              </w:rPr>
              <w:t>0</w:t>
            </w:r>
          </w:p>
        </w:tc>
        <w:tc>
          <w:tcPr>
            <w:tcW w:w="57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5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2878" w:type="dxa"/>
            <w:tcMar>
              <w:left w:w="57" w:type="dxa"/>
              <w:right w:w="57" w:type="dxa"/>
            </w:tcMa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5.属于三类内部事务信息</w:t>
            </w:r>
          </w:p>
        </w:tc>
        <w:tc>
          <w:tcPr>
            <w:tcW w:w="791" w:type="dxa"/>
            <w:tcMar>
              <w:left w:w="57" w:type="dxa"/>
              <w:right w:w="57" w:type="dxa"/>
            </w:tcMar>
          </w:tcPr>
          <w:p>
            <w:pPr>
              <w:widowControl/>
              <w:spacing w:line="300" w:lineRule="exact"/>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0"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7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tcPr>
          <w:p>
            <w:pPr>
              <w:widowControl/>
              <w:spacing w:line="300" w:lineRule="exact"/>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bidi="ar"/>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2878" w:type="dxa"/>
            <w:tcMar>
              <w:left w:w="57" w:type="dxa"/>
              <w:right w:w="57" w:type="dxa"/>
            </w:tcMa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6.属于四类过程性信息</w:t>
            </w:r>
          </w:p>
        </w:tc>
        <w:tc>
          <w:tcPr>
            <w:tcW w:w="79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0"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7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21" w:type="dxa"/>
            <w:tcMar>
              <w:left w:w="57" w:type="dxa"/>
              <w:right w:w="57" w:type="dxa"/>
            </w:tcMar>
          </w:tcPr>
          <w:p>
            <w:pPr>
              <w:widowControl/>
              <w:spacing w:line="300" w:lineRule="exact"/>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2878" w:type="dxa"/>
            <w:tcMar>
              <w:left w:w="57" w:type="dxa"/>
              <w:right w:w="57" w:type="dxa"/>
            </w:tcMa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7.属于行政执法案卷</w:t>
            </w:r>
          </w:p>
        </w:tc>
        <w:tc>
          <w:tcPr>
            <w:tcW w:w="79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0"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2878" w:type="dxa"/>
            <w:tcMar>
              <w:left w:w="57" w:type="dxa"/>
              <w:right w:w="57" w:type="dxa"/>
            </w:tcMa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8.属于行政查询事项</w:t>
            </w:r>
          </w:p>
        </w:tc>
        <w:tc>
          <w:tcPr>
            <w:tcW w:w="79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0"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restart"/>
            <w:tcMar>
              <w:left w:w="57" w:type="dxa"/>
              <w:right w:w="57" w:type="dxa"/>
            </w:tcMar>
            <w:vAlign w:val="cente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（四）无法提供</w:t>
            </w:r>
          </w:p>
        </w:tc>
        <w:tc>
          <w:tcPr>
            <w:tcW w:w="2878" w:type="dxa"/>
            <w:tcMar>
              <w:left w:w="57" w:type="dxa"/>
              <w:right w:w="57" w:type="dxa"/>
            </w:tcMa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1.本机关不掌握相关政府信息</w:t>
            </w:r>
          </w:p>
        </w:tc>
        <w:tc>
          <w:tcPr>
            <w:tcW w:w="79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0"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2878" w:type="dxa"/>
            <w:tcMar>
              <w:left w:w="57" w:type="dxa"/>
              <w:right w:w="57" w:type="dxa"/>
            </w:tcMa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2.没有现成信息需要另行制作</w:t>
            </w:r>
          </w:p>
        </w:tc>
        <w:tc>
          <w:tcPr>
            <w:tcW w:w="79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0"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2878" w:type="dxa"/>
            <w:tcMar>
              <w:left w:w="57" w:type="dxa"/>
              <w:right w:w="57" w:type="dxa"/>
            </w:tcMa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3.补正后申请内容仍不明确</w:t>
            </w:r>
          </w:p>
        </w:tc>
        <w:tc>
          <w:tcPr>
            <w:tcW w:w="79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0"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restart"/>
            <w:tcMar>
              <w:left w:w="57" w:type="dxa"/>
              <w:right w:w="57" w:type="dxa"/>
            </w:tcMar>
            <w:vAlign w:val="cente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（五）不予处理</w:t>
            </w:r>
          </w:p>
        </w:tc>
        <w:tc>
          <w:tcPr>
            <w:tcW w:w="2878" w:type="dxa"/>
            <w:tcMar>
              <w:left w:w="57" w:type="dxa"/>
              <w:right w:w="57" w:type="dxa"/>
            </w:tcMa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1.信访举报投诉类申请</w:t>
            </w:r>
          </w:p>
        </w:tc>
        <w:tc>
          <w:tcPr>
            <w:tcW w:w="79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0"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2878" w:type="dxa"/>
            <w:tcMar>
              <w:left w:w="57" w:type="dxa"/>
              <w:right w:w="57" w:type="dxa"/>
            </w:tcMa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2.重复申请</w:t>
            </w:r>
          </w:p>
        </w:tc>
        <w:tc>
          <w:tcPr>
            <w:tcW w:w="79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tcPr>
          <w:p>
            <w:pPr>
              <w:widowControl/>
              <w:spacing w:line="300" w:lineRule="exact"/>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bidi="ar"/>
              </w:rPr>
              <w:t>0</w:t>
            </w:r>
          </w:p>
        </w:tc>
        <w:tc>
          <w:tcPr>
            <w:tcW w:w="590"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2878" w:type="dxa"/>
            <w:tcMar>
              <w:left w:w="57" w:type="dxa"/>
              <w:right w:w="57" w:type="dxa"/>
            </w:tcMa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3.要求提供公开出版物</w:t>
            </w:r>
          </w:p>
        </w:tc>
        <w:tc>
          <w:tcPr>
            <w:tcW w:w="79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tcPr>
          <w:p>
            <w:pPr>
              <w:widowControl/>
              <w:spacing w:line="300" w:lineRule="exact"/>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0"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tcPr>
          <w:p>
            <w:pPr>
              <w:widowControl/>
              <w:spacing w:line="300" w:lineRule="exact"/>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2878" w:type="dxa"/>
            <w:tcMar>
              <w:left w:w="57" w:type="dxa"/>
              <w:right w:w="57" w:type="dxa"/>
            </w:tcMa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4.无正当理由大量反复申请</w:t>
            </w:r>
          </w:p>
        </w:tc>
        <w:tc>
          <w:tcPr>
            <w:tcW w:w="79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tcPr>
          <w:p>
            <w:pPr>
              <w:widowControl/>
              <w:spacing w:line="300" w:lineRule="exact"/>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bidi="ar"/>
              </w:rPr>
              <w:t>0</w:t>
            </w:r>
          </w:p>
        </w:tc>
        <w:tc>
          <w:tcPr>
            <w:tcW w:w="590"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2878" w:type="dxa"/>
            <w:tcMar>
              <w:left w:w="57" w:type="dxa"/>
              <w:right w:w="57" w:type="dxa"/>
            </w:tcMar>
            <w:vAlign w:val="center"/>
          </w:tcPr>
          <w:p>
            <w:pPr>
              <w:widowControl/>
              <w:spacing w:line="300" w:lineRule="exac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5.要求行政机关确认或重新出具已获取信息</w:t>
            </w:r>
          </w:p>
        </w:tc>
        <w:tc>
          <w:tcPr>
            <w:tcW w:w="79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0"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restart"/>
            <w:tcMar>
              <w:left w:w="57" w:type="dxa"/>
              <w:right w:w="57" w:type="dxa"/>
            </w:tcMar>
            <w:vAlign w:val="cente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（六）其他处理</w:t>
            </w:r>
          </w:p>
        </w:tc>
        <w:tc>
          <w:tcPr>
            <w:tcW w:w="2878" w:type="dxa"/>
            <w:tcMar>
              <w:left w:w="57" w:type="dxa"/>
              <w:right w:w="57" w:type="dxa"/>
            </w:tcMar>
            <w:vAlign w:val="center"/>
          </w:tcPr>
          <w:p>
            <w:pPr>
              <w:widowControl/>
              <w:spacing w:line="300" w:lineRule="exac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0" w:type="dxa"/>
            <w:tcMar>
              <w:left w:w="57" w:type="dxa"/>
              <w:right w:w="57" w:type="dxa"/>
            </w:tcMar>
            <w:vAlign w:val="center"/>
          </w:tcPr>
          <w:p>
            <w:pPr>
              <w:widowControl/>
              <w:spacing w:line="300" w:lineRule="exact"/>
              <w:jc w:val="center"/>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bidi="ar"/>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2878" w:type="dxa"/>
            <w:tcMar>
              <w:left w:w="57" w:type="dxa"/>
              <w:right w:w="57" w:type="dxa"/>
            </w:tcMar>
            <w:vAlign w:val="center"/>
          </w:tcPr>
          <w:p>
            <w:pPr>
              <w:widowControl/>
              <w:spacing w:line="300" w:lineRule="exac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2878" w:type="dxa"/>
            <w:tcMar>
              <w:left w:w="57" w:type="dxa"/>
              <w:right w:w="57" w:type="dxa"/>
            </w:tcMar>
            <w:vAlign w:val="cente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3.其他</w:t>
            </w:r>
          </w:p>
        </w:tc>
        <w:tc>
          <w:tcPr>
            <w:tcW w:w="79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eastAsia" w:ascii="仿宋" w:hAnsi="仿宋" w:eastAsia="仿宋" w:cs="仿宋"/>
                <w:b w:val="0"/>
                <w:bCs w:val="0"/>
                <w:sz w:val="32"/>
                <w:szCs w:val="32"/>
              </w:rPr>
            </w:pPr>
          </w:p>
        </w:tc>
        <w:tc>
          <w:tcPr>
            <w:tcW w:w="3820" w:type="dxa"/>
            <w:gridSpan w:val="2"/>
            <w:tcMar>
              <w:left w:w="57" w:type="dxa"/>
              <w:right w:w="57" w:type="dxa"/>
            </w:tcMar>
            <w:vAlign w:val="cente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（七）总计</w:t>
            </w:r>
          </w:p>
        </w:tc>
        <w:tc>
          <w:tcPr>
            <w:tcW w:w="79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bidi="ar"/>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71" w:type="dxa"/>
            <w:tcMar>
              <w:left w:w="57" w:type="dxa"/>
              <w:right w:w="57" w:type="dxa"/>
            </w:tcMar>
            <w:vAlign w:val="center"/>
          </w:tcPr>
          <w:p>
            <w:pPr>
              <w:widowControl/>
              <w:spacing w:line="300" w:lineRule="exact"/>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四、结转下年度继续办理</w:t>
            </w:r>
          </w:p>
        </w:tc>
        <w:tc>
          <w:tcPr>
            <w:tcW w:w="79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0" w:type="dxa"/>
            <w:tcMar>
              <w:left w:w="57" w:type="dxa"/>
              <w:right w:w="57" w:type="dxa"/>
            </w:tcMar>
            <w:vAlign w:val="center"/>
          </w:tcPr>
          <w:p>
            <w:pPr>
              <w:widowControl/>
              <w:spacing w:line="300" w:lineRule="exact"/>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bidi="ar"/>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21" w:type="dxa"/>
            <w:tcMar>
              <w:left w:w="57" w:type="dxa"/>
              <w:right w:w="57" w:type="dxa"/>
            </w:tcMar>
          </w:tcPr>
          <w:p>
            <w:pPr>
              <w:spacing w:line="3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r>
    </w:tbl>
    <w:p>
      <w:pPr>
        <w:spacing w:line="600" w:lineRule="exact"/>
        <w:ind w:firstLine="640" w:firstLineChars="200"/>
        <w:rPr>
          <w:rFonts w:hint="eastAsia" w:ascii="Times New Roman" w:hAnsi="Times New Roman" w:eastAsia="方正黑体简体" w:cs="Times New Roman"/>
          <w:b w:val="0"/>
          <w:bCs w:val="0"/>
          <w:color w:val="auto"/>
          <w:sz w:val="32"/>
          <w:szCs w:val="32"/>
          <w:u w:val="none"/>
          <w:lang w:val="en-US" w:eastAsia="zh-CN"/>
        </w:rPr>
      </w:pPr>
      <w:r>
        <w:rPr>
          <w:rFonts w:hint="eastAsia" w:ascii="Times New Roman" w:hAnsi="Times New Roman" w:eastAsia="方正黑体简体" w:cs="Times New Roman"/>
          <w:b w:val="0"/>
          <w:bCs w:val="0"/>
          <w:color w:val="auto"/>
          <w:sz w:val="32"/>
          <w:szCs w:val="32"/>
          <w:u w:val="none"/>
          <w:lang w:val="en-US" w:eastAsia="zh-CN"/>
        </w:rPr>
        <w:t>四、政府信息公开行政复议、行政诉讼情况</w:t>
      </w:r>
    </w:p>
    <w:tbl>
      <w:tblPr>
        <w:tblStyle w:val="8"/>
        <w:tblW w:w="881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lang w:bidi="ar"/>
              </w:rPr>
            </w:pPr>
            <w:r>
              <w:rPr>
                <w:rFonts w:hint="eastAsia" w:ascii="仿宋" w:hAnsi="仿宋" w:eastAsia="仿宋" w:cs="仿宋"/>
                <w:b w:val="0"/>
                <w:bCs w:val="0"/>
                <w:sz w:val="32"/>
                <w:szCs w:val="32"/>
                <w:lang w:bidi="ar"/>
              </w:rPr>
              <w:t>结果</w:t>
            </w:r>
          </w:p>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lang w:eastAsia="zh-CN" w:bidi="ar"/>
              </w:rPr>
            </w:pPr>
            <w:r>
              <w:rPr>
                <w:rFonts w:hint="eastAsia" w:ascii="仿宋" w:hAnsi="仿宋" w:eastAsia="仿宋" w:cs="仿宋"/>
                <w:b w:val="0"/>
                <w:bCs w:val="0"/>
                <w:sz w:val="32"/>
                <w:szCs w:val="32"/>
                <w:lang w:bidi="ar"/>
              </w:rPr>
              <w:t>其他</w:t>
            </w:r>
          </w:p>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lang w:eastAsia="zh-CN" w:bidi="ar"/>
              </w:rPr>
            </w:pPr>
            <w:r>
              <w:rPr>
                <w:rFonts w:hint="eastAsia" w:ascii="仿宋" w:hAnsi="仿宋" w:eastAsia="仿宋" w:cs="仿宋"/>
                <w:b w:val="0"/>
                <w:bCs w:val="0"/>
                <w:sz w:val="32"/>
                <w:szCs w:val="32"/>
                <w:lang w:bidi="ar"/>
              </w:rPr>
              <w:t>尚未</w:t>
            </w:r>
          </w:p>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eastAsia" w:ascii="仿宋" w:hAnsi="仿宋" w:eastAsia="仿宋" w:cs="仿宋"/>
                <w:b w:val="0"/>
                <w:bCs w:val="0"/>
                <w:sz w:val="32"/>
                <w:szCs w:val="32"/>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eastAsia" w:ascii="仿宋" w:hAnsi="仿宋" w:eastAsia="仿宋" w:cs="仿宋"/>
                <w:b w:val="0"/>
                <w:bCs w:val="0"/>
                <w:sz w:val="32"/>
                <w:szCs w:val="32"/>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eastAsia" w:ascii="仿宋" w:hAnsi="仿宋" w:eastAsia="仿宋" w:cs="仿宋"/>
                <w:b w:val="0"/>
                <w:bCs w:val="0"/>
                <w:sz w:val="32"/>
                <w:szCs w:val="32"/>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eastAsia" w:ascii="仿宋" w:hAnsi="仿宋" w:eastAsia="仿宋" w:cs="仿宋"/>
                <w:b w:val="0"/>
                <w:bCs w:val="0"/>
                <w:sz w:val="32"/>
                <w:szCs w:val="32"/>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eastAsia" w:ascii="仿宋" w:hAnsi="仿宋" w:eastAsia="仿宋" w:cs="仿宋"/>
                <w:b w:val="0"/>
                <w:bCs w:val="0"/>
                <w:sz w:val="32"/>
                <w:szCs w:val="32"/>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lang w:eastAsia="zh-CN" w:bidi="ar"/>
              </w:rPr>
            </w:pPr>
            <w:r>
              <w:rPr>
                <w:rFonts w:hint="eastAsia" w:ascii="仿宋" w:hAnsi="仿宋" w:eastAsia="仿宋" w:cs="仿宋"/>
                <w:b w:val="0"/>
                <w:bCs w:val="0"/>
                <w:sz w:val="32"/>
                <w:szCs w:val="32"/>
                <w:lang w:bidi="ar"/>
              </w:rPr>
              <w:t>结果</w:t>
            </w:r>
          </w:p>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lang w:eastAsia="zh-CN" w:bidi="ar"/>
              </w:rPr>
            </w:pPr>
            <w:r>
              <w:rPr>
                <w:rFonts w:hint="eastAsia" w:ascii="仿宋" w:hAnsi="仿宋" w:eastAsia="仿宋" w:cs="仿宋"/>
                <w:b w:val="0"/>
                <w:bCs w:val="0"/>
                <w:sz w:val="32"/>
                <w:szCs w:val="32"/>
                <w:lang w:bidi="ar"/>
              </w:rPr>
              <w:t>结果</w:t>
            </w:r>
          </w:p>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lang w:eastAsia="zh-CN" w:bidi="ar"/>
              </w:rPr>
            </w:pPr>
            <w:r>
              <w:rPr>
                <w:rFonts w:hint="eastAsia" w:ascii="仿宋" w:hAnsi="仿宋" w:eastAsia="仿宋" w:cs="仿宋"/>
                <w:b w:val="0"/>
                <w:bCs w:val="0"/>
                <w:sz w:val="32"/>
                <w:szCs w:val="32"/>
                <w:lang w:bidi="ar"/>
              </w:rPr>
              <w:t>其他</w:t>
            </w:r>
          </w:p>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lang w:eastAsia="zh-CN" w:bidi="ar"/>
              </w:rPr>
            </w:pPr>
            <w:r>
              <w:rPr>
                <w:rFonts w:hint="eastAsia" w:ascii="仿宋" w:hAnsi="仿宋" w:eastAsia="仿宋" w:cs="仿宋"/>
                <w:b w:val="0"/>
                <w:bCs w:val="0"/>
                <w:sz w:val="32"/>
                <w:szCs w:val="32"/>
                <w:lang w:bidi="ar"/>
              </w:rPr>
              <w:t>尚未</w:t>
            </w:r>
          </w:p>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lang w:eastAsia="zh-CN" w:bidi="ar"/>
              </w:rPr>
            </w:pPr>
            <w:r>
              <w:rPr>
                <w:rFonts w:hint="eastAsia" w:ascii="仿宋" w:hAnsi="仿宋" w:eastAsia="仿宋" w:cs="仿宋"/>
                <w:b w:val="0"/>
                <w:bCs w:val="0"/>
                <w:sz w:val="32"/>
                <w:szCs w:val="32"/>
                <w:lang w:bidi="ar"/>
              </w:rPr>
              <w:t>结果</w:t>
            </w:r>
          </w:p>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lang w:eastAsia="zh-CN" w:bidi="ar"/>
              </w:rPr>
            </w:pPr>
            <w:r>
              <w:rPr>
                <w:rFonts w:hint="eastAsia" w:ascii="仿宋" w:hAnsi="仿宋" w:eastAsia="仿宋" w:cs="仿宋"/>
                <w:b w:val="0"/>
                <w:bCs w:val="0"/>
                <w:sz w:val="32"/>
                <w:szCs w:val="32"/>
                <w:lang w:bidi="ar"/>
              </w:rPr>
              <w:t>结果</w:t>
            </w:r>
          </w:p>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lang w:eastAsia="zh-CN" w:bidi="ar"/>
              </w:rPr>
            </w:pPr>
            <w:r>
              <w:rPr>
                <w:rFonts w:hint="eastAsia" w:ascii="仿宋" w:hAnsi="仿宋" w:eastAsia="仿宋" w:cs="仿宋"/>
                <w:b w:val="0"/>
                <w:bCs w:val="0"/>
                <w:sz w:val="32"/>
                <w:szCs w:val="32"/>
                <w:lang w:bidi="ar"/>
              </w:rPr>
              <w:t>其他</w:t>
            </w:r>
          </w:p>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lang w:eastAsia="zh-CN" w:bidi="ar"/>
              </w:rPr>
            </w:pPr>
            <w:r>
              <w:rPr>
                <w:rFonts w:hint="eastAsia" w:ascii="仿宋" w:hAnsi="仿宋" w:eastAsia="仿宋" w:cs="仿宋"/>
                <w:b w:val="0"/>
                <w:bCs w:val="0"/>
                <w:sz w:val="32"/>
                <w:szCs w:val="32"/>
                <w:lang w:bidi="ar"/>
              </w:rPr>
              <w:t>尚未</w:t>
            </w:r>
          </w:p>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w:t>
            </w:r>
          </w:p>
        </w:tc>
      </w:tr>
    </w:tbl>
    <w:p>
      <w:pPr>
        <w:spacing w:line="600" w:lineRule="exact"/>
        <w:ind w:firstLine="640" w:firstLineChars="200"/>
        <w:rPr>
          <w:rFonts w:hint="eastAsia" w:ascii="Times New Roman" w:hAnsi="Times New Roman" w:eastAsia="方正黑体简体" w:cs="Times New Roman"/>
          <w:b w:val="0"/>
          <w:bCs w:val="0"/>
          <w:color w:val="auto"/>
          <w:sz w:val="32"/>
          <w:szCs w:val="32"/>
          <w:u w:val="none"/>
          <w:lang w:val="en-US" w:eastAsia="zh-CN"/>
        </w:rPr>
      </w:pPr>
      <w:r>
        <w:rPr>
          <w:rFonts w:hint="eastAsia" w:ascii="Times New Roman" w:hAnsi="Times New Roman" w:eastAsia="方正黑体简体" w:cs="Times New Roman"/>
          <w:b w:val="0"/>
          <w:bCs w:val="0"/>
          <w:color w:val="auto"/>
          <w:sz w:val="32"/>
          <w:szCs w:val="32"/>
          <w:u w:val="none"/>
          <w:lang w:val="en-US" w:eastAsia="zh-CN"/>
        </w:rPr>
        <w:t>五、存在的主要问题及改进情况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left"/>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2022年，检验检测中心政务公开工作取得一定成效，但仍存在公开内容有待深化、公开意识有待提高等相关问题。同时，相关检验检测监管事项较少。部分信息公布不够及时，更新较慢。信息质量、数量有待提高，规范性有待完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left"/>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针对以上问题，扎实开展政务公开标准化规范化建设，根据《山东省人民政府办公厅关于转发2022年山东省政务公开工作要点的通知》和《微山县人民政府办公室关于印发2022年微山县政务公开工作任务分解表的通知》强化组织保障，围绕政务公开重点任务，强化组织保障，提高公开质量，及时更新主动公开目录，认真贯彻落实《中华人民共和国政府信息公开条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left"/>
        <w:rPr>
          <w:rFonts w:hint="eastAsia" w:ascii="仿宋" w:hAnsi="仿宋" w:eastAsia="仿宋" w:cs="仿宋"/>
          <w:b w:val="0"/>
          <w:bCs w:val="0"/>
          <w:sz w:val="32"/>
          <w:szCs w:val="32"/>
          <w:lang w:val="en-US" w:eastAsia="zh-CN"/>
        </w:rPr>
      </w:pPr>
      <w:r>
        <w:rPr>
          <w:rFonts w:hint="default" w:ascii="Times New Roman" w:hAnsi="Times New Roman" w:eastAsia="方正黑体简体" w:cs="Times New Roman"/>
          <w:b w:val="0"/>
          <w:bCs w:val="0"/>
          <w:color w:val="auto"/>
          <w:kern w:val="2"/>
          <w:sz w:val="32"/>
          <w:szCs w:val="32"/>
          <w:u w:val="none"/>
          <w:lang w:val="en-US" w:eastAsia="zh-CN" w:bidi="ar-SA"/>
        </w:rPr>
        <w:t>六、其他需要报告的事项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（一）收取信息费情况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640" w:firstLineChars="200"/>
        <w:jc w:val="left"/>
        <w:textAlignment w:val="auto"/>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t>本年度</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检验检测</w:t>
      </w:r>
      <w:r>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t>中心信息处理费收取金额为0。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（二）落实上级年度政务公开工作要点情况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按时上传工作动态，积极通过微信公众号等新媒体转发最新政策。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640" w:firstLineChars="200"/>
        <w:jc w:val="left"/>
        <w:textAlignment w:val="auto"/>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（三）人大代表建议和政协提案情况：无。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(四)县检验检测中心本年度无政务公开工作创新情况。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(五)县检验检测中心本年度政府信息公开工作年度报告数据统计无需要说明的事项。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(六)县检验检测中心认为需要报告的其他事项：无。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(七)其他有关文件专门要求通过政府信息公开工作年度报告予以报告的事项：无。</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p>
    <w:sectPr>
      <w:footerReference r:id="rId3" w:type="default"/>
      <w:pgSz w:w="11906" w:h="16838"/>
      <w:pgMar w:top="400" w:right="1597" w:bottom="1835" w:left="1597" w:header="0" w:footer="155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179"/>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FCBD8"/>
    <w:multiLevelType w:val="singleLevel"/>
    <w:tmpl w:val="56DFCBD8"/>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23870D5"/>
    <w:rsid w:val="058368B9"/>
    <w:rsid w:val="0938284F"/>
    <w:rsid w:val="0A134BD1"/>
    <w:rsid w:val="0A1E5153"/>
    <w:rsid w:val="0A4B3B02"/>
    <w:rsid w:val="0B6F4226"/>
    <w:rsid w:val="0DD31933"/>
    <w:rsid w:val="0F501F02"/>
    <w:rsid w:val="11087078"/>
    <w:rsid w:val="13E470BD"/>
    <w:rsid w:val="15B50D11"/>
    <w:rsid w:val="176A1687"/>
    <w:rsid w:val="17EE4066"/>
    <w:rsid w:val="19356939"/>
    <w:rsid w:val="19B7492C"/>
    <w:rsid w:val="1BCB4595"/>
    <w:rsid w:val="20370574"/>
    <w:rsid w:val="22401962"/>
    <w:rsid w:val="25835C0E"/>
    <w:rsid w:val="2742617D"/>
    <w:rsid w:val="29134B78"/>
    <w:rsid w:val="2BD761E0"/>
    <w:rsid w:val="2C602C01"/>
    <w:rsid w:val="2C78619D"/>
    <w:rsid w:val="2D2D6F87"/>
    <w:rsid w:val="37B207B5"/>
    <w:rsid w:val="3AE353E5"/>
    <w:rsid w:val="3FF83425"/>
    <w:rsid w:val="40863B7B"/>
    <w:rsid w:val="41A40847"/>
    <w:rsid w:val="422B5D33"/>
    <w:rsid w:val="439759BF"/>
    <w:rsid w:val="466A11A2"/>
    <w:rsid w:val="4A126545"/>
    <w:rsid w:val="54752E3E"/>
    <w:rsid w:val="560426CB"/>
    <w:rsid w:val="56554CD5"/>
    <w:rsid w:val="57593D2F"/>
    <w:rsid w:val="59A860E0"/>
    <w:rsid w:val="5A2F0DB8"/>
    <w:rsid w:val="5A663955"/>
    <w:rsid w:val="5B6A1223"/>
    <w:rsid w:val="62816E52"/>
    <w:rsid w:val="634E7862"/>
    <w:rsid w:val="64354398"/>
    <w:rsid w:val="64D73325"/>
    <w:rsid w:val="66C832A1"/>
    <w:rsid w:val="6B1940CB"/>
    <w:rsid w:val="6DFF1C9E"/>
    <w:rsid w:val="6F6124E5"/>
    <w:rsid w:val="70CA52E5"/>
    <w:rsid w:val="7157594D"/>
    <w:rsid w:val="72261CDA"/>
    <w:rsid w:val="74D10245"/>
    <w:rsid w:val="75E33C54"/>
    <w:rsid w:val="772207AC"/>
    <w:rsid w:val="77841CE0"/>
    <w:rsid w:val="7CEF3C3E"/>
    <w:rsid w:val="7DAC5273"/>
    <w:rsid w:val="7E991353"/>
    <w:rsid w:val="7F543BA2"/>
    <w:rsid w:val="7F851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560" w:firstLineChars="200"/>
    </w:pPr>
    <w:rPr>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2548</Words>
  <Characters>2668</Characters>
  <Lines>0</Lines>
  <Paragraphs>0</Paragraphs>
  <TotalTime>0</TotalTime>
  <ScaleCrop>false</ScaleCrop>
  <LinksUpToDate>false</LinksUpToDate>
  <CharactersWithSpaces>2870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2022-01-14T08:00:00Z</dcterms:created>
  <dc:creator>1</dc:creator>
  <cp:lastModifiedBy>Administrator</cp:lastModifiedBy>
  <dcterms:modified xsi:type="dcterms:W3CDTF">2025-03-24T07:22:07Z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BA4682A2C57D466BB68A8D11DBFA425F</vt:lpwstr>
  </property>
</Properties>
</file>