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10.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fonts/font7.odttf" ContentType="application/vnd.openxmlformats-officedocument.obfuscatedFont"/>
  <Override PartName="/word/fonts/font8.odttf" ContentType="application/vnd.openxmlformats-officedocument.obfuscatedFont"/>
  <Override PartName="/word/fonts/font9.odttf" ContentType="application/vnd.openxmlformats-officedocument.obfuscatedFont"/>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hd w:val="clear"/>
        <w:spacing w:line="590" w:lineRule="exact"/>
        <w:ind w:right="-105" w:rightChars="-50"/>
        <w:jc w:val="center"/>
        <w:rPr>
          <w:rFonts w:hint="eastAsia" w:ascii="方正小标宋简体" w:hAnsi="Times New Roman" w:eastAsia="方正小标宋简体" w:cs="Times New Roman"/>
          <w:b/>
          <w:color w:val="000000" w:themeColor="text1"/>
          <w:kern w:val="0"/>
          <w:sz w:val="44"/>
          <w:szCs w:val="44"/>
          <w14:textFill>
            <w14:solidFill>
              <w14:schemeClr w14:val="tx1"/>
            </w14:solidFill>
          </w14:textFill>
        </w:rPr>
      </w:pPr>
    </w:p>
    <w:p>
      <w:pPr>
        <w:shd w:val="clear"/>
        <w:spacing w:line="590" w:lineRule="exact"/>
        <w:ind w:right="-105" w:rightChars="-50"/>
        <w:jc w:val="center"/>
        <w:rPr>
          <w:rFonts w:hint="eastAsia" w:ascii="方正公文小标宋" w:hAnsi="方正公文小标宋" w:eastAsia="方正公文小标宋" w:cs="方正公文小标宋"/>
          <w:b/>
          <w:bCs w:val="0"/>
          <w:color w:val="000000" w:themeColor="text1"/>
          <w:kern w:val="0"/>
          <w:sz w:val="44"/>
          <w:szCs w:val="44"/>
          <w14:textFill>
            <w14:solidFill>
              <w14:schemeClr w14:val="tx1"/>
            </w14:solidFill>
          </w14:textFill>
        </w:rPr>
      </w:pPr>
      <w:r>
        <w:rPr>
          <w:rFonts w:hint="eastAsia" w:ascii="方正公文小标宋" w:hAnsi="方正公文小标宋" w:eastAsia="方正公文小标宋" w:cs="方正公文小标宋"/>
          <w:b/>
          <w:bCs w:val="0"/>
          <w:color w:val="000000" w:themeColor="text1"/>
          <w:kern w:val="0"/>
          <w:sz w:val="44"/>
          <w:szCs w:val="44"/>
          <w:lang w:eastAsia="zh-CN"/>
          <w14:textFill>
            <w14:solidFill>
              <w14:schemeClr w14:val="tx1"/>
            </w14:solidFill>
          </w14:textFill>
        </w:rPr>
        <w:t>南阳</w:t>
      </w:r>
      <w:r>
        <w:rPr>
          <w:rFonts w:hint="eastAsia" w:ascii="方正公文小标宋" w:hAnsi="方正公文小标宋" w:eastAsia="方正公文小标宋" w:cs="方正公文小标宋"/>
          <w:b/>
          <w:bCs w:val="0"/>
          <w:color w:val="000000" w:themeColor="text1"/>
          <w:kern w:val="0"/>
          <w:sz w:val="44"/>
          <w:szCs w:val="44"/>
          <w14:textFill>
            <w14:solidFill>
              <w14:schemeClr w14:val="tx1"/>
            </w14:solidFill>
          </w14:textFill>
        </w:rPr>
        <w:t>镇</w:t>
      </w:r>
      <w:r>
        <w:rPr>
          <w:rFonts w:hint="default" w:ascii="Times New Roman" w:hAnsi="Times New Roman" w:eastAsia="方正公文小标宋" w:cs="Times New Roman"/>
          <w:b/>
          <w:bCs w:val="0"/>
          <w:color w:val="000000" w:themeColor="text1"/>
          <w:kern w:val="0"/>
          <w:sz w:val="44"/>
          <w:szCs w:val="44"/>
          <w14:textFill>
            <w14:solidFill>
              <w14:schemeClr w14:val="tx1"/>
            </w14:solidFill>
          </w14:textFill>
        </w:rPr>
        <w:t>202</w:t>
      </w:r>
      <w:r>
        <w:rPr>
          <w:rFonts w:hint="default" w:ascii="Times New Roman" w:hAnsi="Times New Roman" w:eastAsia="方正公文小标宋" w:cs="Times New Roman"/>
          <w:b/>
          <w:bCs w:val="0"/>
          <w:color w:val="000000" w:themeColor="text1"/>
          <w:kern w:val="0"/>
          <w:sz w:val="44"/>
          <w:szCs w:val="44"/>
          <w:lang w:val="en-US" w:eastAsia="zh-CN"/>
          <w14:textFill>
            <w14:solidFill>
              <w14:schemeClr w14:val="tx1"/>
            </w14:solidFill>
          </w14:textFill>
        </w:rPr>
        <w:t>3</w:t>
      </w:r>
      <w:r>
        <w:rPr>
          <w:rFonts w:hint="eastAsia" w:ascii="方正公文小标宋" w:hAnsi="方正公文小标宋" w:eastAsia="方正公文小标宋" w:cs="方正公文小标宋"/>
          <w:b/>
          <w:bCs w:val="0"/>
          <w:color w:val="000000" w:themeColor="text1"/>
          <w:kern w:val="0"/>
          <w:sz w:val="44"/>
          <w:szCs w:val="44"/>
          <w14:textFill>
            <w14:solidFill>
              <w14:schemeClr w14:val="tx1"/>
            </w14:solidFill>
          </w14:textFill>
        </w:rPr>
        <w:t>年政府信息公开年度报告</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0"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bookmarkStart w:id="10" w:name="_GoBack"/>
      <w:bookmarkEnd w:id="10"/>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本报告由南阳镇人民政府按照《中华人民共和国政府信息公开条例》（以下简称《条例》）和《中华人民共和国政府信息公开工作年度报告格式》（国办公开办函〔</w:t>
      </w:r>
      <w:r>
        <w:rPr>
          <w:rFonts w:hint="default" w:ascii="Times New Roman" w:hAnsi="Times New Roman" w:eastAsia="仿宋_GB2312" w:cs="Times New Roman"/>
          <w:b/>
          <w:bCs/>
          <w:i w:val="0"/>
          <w:caps w:val="0"/>
          <w:color w:val="000000"/>
          <w:spacing w:val="0"/>
          <w:sz w:val="32"/>
          <w:szCs w:val="32"/>
          <w:shd w:val="clear" w:fill="FFFFFF"/>
          <w:lang w:val="en-US" w:eastAsia="zh-CN"/>
        </w:rPr>
        <w:t>2021</w:t>
      </w:r>
      <w:r>
        <w:rPr>
          <w:rFonts w:hint="eastAsia" w:ascii="仿宋_GB2312" w:hAnsi="微软雅黑" w:eastAsia="仿宋_GB2312" w:cs="仿宋_GB2312"/>
          <w:b/>
          <w:bCs/>
          <w:i w:val="0"/>
          <w:caps w:val="0"/>
          <w:color w:val="000000"/>
          <w:spacing w:val="0"/>
          <w:sz w:val="32"/>
          <w:szCs w:val="32"/>
          <w:shd w:val="clear" w:fill="FFFFFF"/>
          <w:lang w:val="en-US" w:eastAsia="zh-CN"/>
        </w:rPr>
        <w:t>〕</w:t>
      </w:r>
      <w:r>
        <w:rPr>
          <w:rFonts w:hint="eastAsia" w:ascii="Times New Roman" w:hAnsi="Times New Roman" w:eastAsia="仿宋_GB2312" w:cs="Times New Roman"/>
          <w:b/>
          <w:bCs/>
          <w:i w:val="0"/>
          <w:caps w:val="0"/>
          <w:color w:val="000000"/>
          <w:spacing w:val="0"/>
          <w:sz w:val="32"/>
          <w:szCs w:val="32"/>
          <w:shd w:val="clear" w:fill="FFFFFF"/>
          <w:lang w:val="en-US" w:eastAsia="zh-CN"/>
        </w:rPr>
        <w:t>30</w:t>
      </w:r>
      <w:r>
        <w:rPr>
          <w:rFonts w:hint="eastAsia" w:ascii="仿宋_GB2312" w:hAnsi="微软雅黑" w:eastAsia="仿宋_GB2312" w:cs="仿宋_GB2312"/>
          <w:b/>
          <w:bCs/>
          <w:i w:val="0"/>
          <w:caps w:val="0"/>
          <w:color w:val="000000"/>
          <w:spacing w:val="0"/>
          <w:sz w:val="32"/>
          <w:szCs w:val="32"/>
          <w:shd w:val="clear" w:fill="FFFFFF"/>
          <w:lang w:val="en-US" w:eastAsia="zh-CN"/>
        </w:rPr>
        <w:t>号）要求编制。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本报告内容包括总体情况、主动公开政府信息情况、收到和处理政府信息公开申请情况、政府信息公开行政复议和行政诉讼情况、存在的主要问题及改进情况、其他需要报告的事项等六部分内容。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本报告所列数据的统计期限自</w:t>
      </w:r>
      <w:r>
        <w:rPr>
          <w:rFonts w:hint="eastAsia" w:ascii="Times New Roman" w:hAnsi="Times New Roman" w:eastAsia="仿宋_GB2312" w:cs="Times New Roman"/>
          <w:b/>
          <w:bCs/>
          <w:i w:val="0"/>
          <w:caps w:val="0"/>
          <w:color w:val="000000"/>
          <w:spacing w:val="0"/>
          <w:sz w:val="32"/>
          <w:szCs w:val="32"/>
          <w:shd w:val="clear" w:fill="FFFFFF"/>
          <w:lang w:val="en-US" w:eastAsia="zh-CN"/>
        </w:rPr>
        <w:t>2023</w:t>
      </w:r>
      <w:r>
        <w:rPr>
          <w:rFonts w:hint="eastAsia" w:ascii="仿宋_GB2312" w:hAnsi="微软雅黑" w:eastAsia="仿宋_GB2312" w:cs="仿宋_GB2312"/>
          <w:b/>
          <w:bCs/>
          <w:i w:val="0"/>
          <w:caps w:val="0"/>
          <w:color w:val="000000"/>
          <w:spacing w:val="0"/>
          <w:sz w:val="32"/>
          <w:szCs w:val="32"/>
          <w:shd w:val="clear" w:fill="FFFFFF"/>
          <w:lang w:val="en-US" w:eastAsia="zh-CN"/>
        </w:rPr>
        <w:t>年</w:t>
      </w:r>
      <w:r>
        <w:rPr>
          <w:rFonts w:hint="eastAsia" w:ascii="Times New Roman" w:hAnsi="Times New Roman" w:eastAsia="仿宋_GB2312" w:cs="Times New Roman"/>
          <w:b/>
          <w:bCs/>
          <w:i w:val="0"/>
          <w:caps w:val="0"/>
          <w:color w:val="000000"/>
          <w:spacing w:val="0"/>
          <w:sz w:val="32"/>
          <w:szCs w:val="32"/>
          <w:shd w:val="clear" w:fill="FFFFFF"/>
          <w:lang w:val="en-US" w:eastAsia="zh-CN"/>
        </w:rPr>
        <w:t>1</w:t>
      </w:r>
      <w:r>
        <w:rPr>
          <w:rFonts w:hint="eastAsia" w:ascii="仿宋_GB2312" w:hAnsi="微软雅黑" w:eastAsia="仿宋_GB2312" w:cs="仿宋_GB2312"/>
          <w:b/>
          <w:bCs/>
          <w:i w:val="0"/>
          <w:caps w:val="0"/>
          <w:color w:val="000000"/>
          <w:spacing w:val="0"/>
          <w:sz w:val="32"/>
          <w:szCs w:val="32"/>
          <w:shd w:val="clear" w:fill="FFFFFF"/>
          <w:lang w:val="en-US" w:eastAsia="zh-CN"/>
        </w:rPr>
        <w:t>月</w:t>
      </w:r>
      <w:r>
        <w:rPr>
          <w:rFonts w:hint="eastAsia" w:ascii="Times New Roman" w:hAnsi="Times New Roman" w:eastAsia="仿宋_GB2312" w:cs="Times New Roman"/>
          <w:b/>
          <w:bCs/>
          <w:i w:val="0"/>
          <w:caps w:val="0"/>
          <w:color w:val="000000"/>
          <w:spacing w:val="0"/>
          <w:sz w:val="32"/>
          <w:szCs w:val="32"/>
          <w:shd w:val="clear" w:fill="FFFFFF"/>
          <w:lang w:val="en-US" w:eastAsia="zh-CN"/>
        </w:rPr>
        <w:t>1</w:t>
      </w:r>
      <w:r>
        <w:rPr>
          <w:rFonts w:hint="eastAsia" w:ascii="仿宋_GB2312" w:hAnsi="微软雅黑" w:eastAsia="仿宋_GB2312" w:cs="仿宋_GB2312"/>
          <w:b/>
          <w:bCs/>
          <w:i w:val="0"/>
          <w:caps w:val="0"/>
          <w:color w:val="000000"/>
          <w:spacing w:val="0"/>
          <w:sz w:val="32"/>
          <w:szCs w:val="32"/>
          <w:shd w:val="clear" w:fill="FFFFFF"/>
          <w:lang w:val="en-US" w:eastAsia="zh-CN"/>
        </w:rPr>
        <w:t>日起至</w:t>
      </w:r>
      <w:r>
        <w:rPr>
          <w:rFonts w:hint="eastAsia" w:ascii="Times New Roman" w:hAnsi="Times New Roman" w:eastAsia="仿宋_GB2312" w:cs="Times New Roman"/>
          <w:b/>
          <w:bCs/>
          <w:i w:val="0"/>
          <w:caps w:val="0"/>
          <w:color w:val="000000"/>
          <w:spacing w:val="0"/>
          <w:sz w:val="32"/>
          <w:szCs w:val="32"/>
          <w:shd w:val="clear" w:fill="FFFFFF"/>
          <w:lang w:val="en-US" w:eastAsia="zh-CN"/>
        </w:rPr>
        <w:t>2023</w:t>
      </w:r>
      <w:r>
        <w:rPr>
          <w:rFonts w:hint="eastAsia" w:ascii="仿宋_GB2312" w:hAnsi="微软雅黑" w:eastAsia="仿宋_GB2312" w:cs="仿宋_GB2312"/>
          <w:b/>
          <w:bCs/>
          <w:i w:val="0"/>
          <w:caps w:val="0"/>
          <w:color w:val="000000"/>
          <w:spacing w:val="0"/>
          <w:sz w:val="32"/>
          <w:szCs w:val="32"/>
          <w:shd w:val="clear" w:fill="FFFFFF"/>
          <w:lang w:val="en-US" w:eastAsia="zh-CN"/>
        </w:rPr>
        <w:t>年</w:t>
      </w:r>
      <w:r>
        <w:rPr>
          <w:rFonts w:hint="eastAsia" w:ascii="Times New Roman" w:hAnsi="Times New Roman" w:eastAsia="仿宋_GB2312" w:cs="Times New Roman"/>
          <w:b/>
          <w:bCs/>
          <w:i w:val="0"/>
          <w:caps w:val="0"/>
          <w:color w:val="000000"/>
          <w:spacing w:val="0"/>
          <w:sz w:val="32"/>
          <w:szCs w:val="32"/>
          <w:shd w:val="clear" w:fill="FFFFFF"/>
          <w:lang w:val="en-US" w:eastAsia="zh-CN"/>
        </w:rPr>
        <w:t>12</w:t>
      </w:r>
      <w:r>
        <w:rPr>
          <w:rFonts w:hint="eastAsia" w:ascii="仿宋_GB2312" w:hAnsi="微软雅黑" w:eastAsia="仿宋_GB2312" w:cs="仿宋_GB2312"/>
          <w:b/>
          <w:bCs/>
          <w:i w:val="0"/>
          <w:caps w:val="0"/>
          <w:color w:val="000000"/>
          <w:spacing w:val="0"/>
          <w:sz w:val="32"/>
          <w:szCs w:val="32"/>
          <w:shd w:val="clear" w:fill="FFFFFF"/>
          <w:lang w:val="en-US" w:eastAsia="zh-CN"/>
        </w:rPr>
        <w:t>月</w:t>
      </w:r>
      <w:r>
        <w:rPr>
          <w:rFonts w:hint="eastAsia" w:ascii="Times New Roman" w:hAnsi="Times New Roman" w:eastAsia="仿宋_GB2312" w:cs="Times New Roman"/>
          <w:b/>
          <w:bCs/>
          <w:i w:val="0"/>
          <w:caps w:val="0"/>
          <w:color w:val="000000"/>
          <w:spacing w:val="0"/>
          <w:sz w:val="32"/>
          <w:szCs w:val="32"/>
          <w:shd w:val="clear" w:fill="FFFFFF"/>
          <w:lang w:val="en-US" w:eastAsia="zh-CN"/>
        </w:rPr>
        <w:t>3</w:t>
      </w:r>
      <w:r>
        <w:rPr>
          <w:rFonts w:hint="eastAsia" w:ascii="Times New Roman" w:hAnsi="Times New Roman" w:eastAsia="仿宋_GB2312" w:cs="Times New Roman"/>
          <w:b/>
          <w:bCs/>
          <w:i w:val="0"/>
          <w:caps w:val="0"/>
          <w:color w:val="000000"/>
          <w:spacing w:val="0"/>
          <w:sz w:val="32"/>
          <w:szCs w:val="32"/>
          <w:shd w:val="clear" w:fill="FFFFFF"/>
          <w:lang w:val="en-US" w:eastAsia="zh-CN"/>
        </w:rPr>
        <w:t>1</w:t>
      </w:r>
      <w:r>
        <w:rPr>
          <w:rFonts w:hint="eastAsia" w:ascii="仿宋_GB2312" w:hAnsi="微软雅黑" w:eastAsia="仿宋_GB2312" w:cs="仿宋_GB2312"/>
          <w:b/>
          <w:bCs/>
          <w:i w:val="0"/>
          <w:caps w:val="0"/>
          <w:color w:val="000000"/>
          <w:spacing w:val="0"/>
          <w:sz w:val="32"/>
          <w:szCs w:val="32"/>
          <w:shd w:val="clear" w:fill="FFFFFF"/>
          <w:lang w:val="en-US" w:eastAsia="zh-CN"/>
        </w:rPr>
        <w:t>日止。本报告电子版可在“中国·微山”政府门户网站（具体网址：http://www.weishan.gov.cn/）查阅或下载。如对本报告有疑问，请与南阳镇人民政府联系（办公地址：微山县南阳镇书院路</w:t>
      </w:r>
      <w:r>
        <w:rPr>
          <w:rFonts w:hint="eastAsia" w:ascii="Times New Roman" w:hAnsi="Times New Roman" w:eastAsia="仿宋_GB2312" w:cs="Times New Roman"/>
          <w:b/>
          <w:bCs/>
          <w:i w:val="0"/>
          <w:caps w:val="0"/>
          <w:color w:val="000000"/>
          <w:spacing w:val="0"/>
          <w:sz w:val="32"/>
          <w:szCs w:val="32"/>
          <w:shd w:val="clear" w:fill="FFFFFF"/>
          <w:lang w:val="en-US" w:eastAsia="zh-CN"/>
        </w:rPr>
        <w:t>1</w:t>
      </w:r>
      <w:r>
        <w:rPr>
          <w:rFonts w:hint="eastAsia" w:ascii="仿宋_GB2312" w:hAnsi="微软雅黑" w:eastAsia="仿宋_GB2312" w:cs="仿宋_GB2312"/>
          <w:b/>
          <w:bCs/>
          <w:i w:val="0"/>
          <w:caps w:val="0"/>
          <w:color w:val="000000"/>
          <w:spacing w:val="0"/>
          <w:sz w:val="32"/>
          <w:szCs w:val="32"/>
          <w:shd w:val="clear" w:fill="FFFFFF"/>
          <w:lang w:val="en-US" w:eastAsia="zh-CN"/>
        </w:rPr>
        <w:t>号，邮编：</w:t>
      </w:r>
      <w:r>
        <w:rPr>
          <w:rFonts w:hint="eastAsia" w:ascii="Times New Roman" w:hAnsi="Times New Roman" w:eastAsia="仿宋_GB2312" w:cs="Times New Roman"/>
          <w:b/>
          <w:bCs/>
          <w:i w:val="0"/>
          <w:caps w:val="0"/>
          <w:color w:val="000000"/>
          <w:spacing w:val="0"/>
          <w:sz w:val="32"/>
          <w:szCs w:val="32"/>
          <w:shd w:val="clear" w:fill="FFFFFF"/>
          <w:lang w:val="en-US" w:eastAsia="zh-CN"/>
        </w:rPr>
        <w:t>277600</w:t>
      </w:r>
      <w:r>
        <w:rPr>
          <w:rFonts w:hint="eastAsia" w:ascii="仿宋_GB2312" w:hAnsi="微软雅黑" w:eastAsia="仿宋_GB2312" w:cs="仿宋_GB2312"/>
          <w:b/>
          <w:bCs/>
          <w:i w:val="0"/>
          <w:caps w:val="0"/>
          <w:color w:val="000000"/>
          <w:spacing w:val="0"/>
          <w:sz w:val="32"/>
          <w:szCs w:val="32"/>
          <w:shd w:val="clear" w:fill="FFFFFF"/>
          <w:lang w:val="en-US" w:eastAsia="zh-CN"/>
        </w:rPr>
        <w:t>，电话：</w:t>
      </w:r>
      <w:r>
        <w:rPr>
          <w:rFonts w:hint="eastAsia" w:ascii="Times New Roman" w:hAnsi="Times New Roman" w:eastAsia="仿宋_GB2312" w:cs="Times New Roman"/>
          <w:b/>
          <w:bCs/>
          <w:i w:val="0"/>
          <w:caps w:val="0"/>
          <w:color w:val="000000"/>
          <w:spacing w:val="0"/>
          <w:sz w:val="32"/>
          <w:szCs w:val="32"/>
          <w:shd w:val="clear" w:fill="FFFFFF"/>
          <w:lang w:val="en-US" w:eastAsia="zh-CN"/>
        </w:rPr>
        <w:t>0537-8121001</w:t>
      </w:r>
      <w:r>
        <w:rPr>
          <w:rFonts w:hint="eastAsia" w:ascii="仿宋_GB2312" w:hAnsi="微软雅黑" w:eastAsia="仿宋_GB2312" w:cs="仿宋_GB2312"/>
          <w:b/>
          <w:bCs/>
          <w:i w:val="0"/>
          <w:caps w:val="0"/>
          <w:color w:val="000000"/>
          <w:spacing w:val="0"/>
          <w:sz w:val="32"/>
          <w:szCs w:val="32"/>
          <w:shd w:val="clear" w:fill="FFFFFF"/>
          <w:lang w:val="en-US" w:eastAsia="zh-CN"/>
        </w:rPr>
        <w:t>，电子邮箱：nyzdzb</w:t>
      </w:r>
      <w:r>
        <w:rPr>
          <w:rFonts w:hint="eastAsia" w:ascii="Times New Roman" w:hAnsi="Times New Roman" w:eastAsia="仿宋_GB2312" w:cs="Times New Roman"/>
          <w:b/>
          <w:bCs/>
          <w:i w:val="0"/>
          <w:caps w:val="0"/>
          <w:color w:val="000000"/>
          <w:spacing w:val="0"/>
          <w:sz w:val="32"/>
          <w:szCs w:val="32"/>
          <w:shd w:val="clear" w:fill="FFFFFF"/>
          <w:lang w:val="en-US" w:eastAsia="zh-CN"/>
        </w:rPr>
        <w:t>2023</w:t>
      </w:r>
      <w:r>
        <w:rPr>
          <w:rFonts w:hint="eastAsia" w:ascii="仿宋_GB2312" w:hAnsi="微软雅黑" w:eastAsia="仿宋_GB2312" w:cs="仿宋_GB2312"/>
          <w:b/>
          <w:bCs/>
          <w:i w:val="0"/>
          <w:caps w:val="0"/>
          <w:color w:val="000000"/>
          <w:spacing w:val="0"/>
          <w:sz w:val="32"/>
          <w:szCs w:val="32"/>
          <w:shd w:val="clear" w:fill="FFFFFF"/>
          <w:lang w:val="en-US" w:eastAsia="zh-CN"/>
        </w:rPr>
        <w:t>@</w:t>
      </w:r>
      <w:r>
        <w:rPr>
          <w:rFonts w:hint="eastAsia" w:ascii="Times New Roman" w:hAnsi="Times New Roman" w:eastAsia="仿宋_GB2312" w:cs="Times New Roman"/>
          <w:b/>
          <w:bCs/>
          <w:i w:val="0"/>
          <w:caps w:val="0"/>
          <w:color w:val="000000"/>
          <w:spacing w:val="0"/>
          <w:sz w:val="32"/>
          <w:szCs w:val="32"/>
          <w:shd w:val="clear" w:fill="FFFFFF"/>
          <w:lang w:val="en-US" w:eastAsia="zh-CN"/>
        </w:rPr>
        <w:t>126</w:t>
      </w:r>
      <w:r>
        <w:rPr>
          <w:rFonts w:hint="eastAsia" w:ascii="仿宋_GB2312" w:hAnsi="微软雅黑" w:eastAsia="仿宋_GB2312" w:cs="仿宋_GB2312"/>
          <w:b/>
          <w:bCs/>
          <w:i w:val="0"/>
          <w:caps w:val="0"/>
          <w:color w:val="000000"/>
          <w:spacing w:val="0"/>
          <w:sz w:val="32"/>
          <w:szCs w:val="32"/>
          <w:shd w:val="clear" w:fill="FFFFFF"/>
          <w:lang w:val="en-US" w:eastAsia="zh-CN"/>
        </w:rPr>
        <w:t>.com）。</w:t>
      </w:r>
    </w:p>
    <w:p>
      <w:pPr>
        <w:keepNext w:val="0"/>
        <w:keepLines w:val="0"/>
        <w:pageBreakBefore w:val="0"/>
        <w:numPr>
          <w:ilvl w:val="0"/>
          <w:numId w:val="1"/>
        </w:numPr>
        <w:shd w:val="clear"/>
        <w:kinsoku/>
        <w:wordWrap/>
        <w:overflowPunct/>
        <w:topLinePunct w:val="0"/>
        <w:autoSpaceDE/>
        <w:autoSpaceDN/>
        <w:bidi w:val="0"/>
        <w:adjustRightInd/>
        <w:snapToGrid/>
        <w:ind w:firstLine="643" w:firstLineChars="200"/>
        <w:textAlignment w:val="auto"/>
        <w:rPr>
          <w:rFonts w:ascii="黑体" w:hAnsi="宋体" w:eastAsia="黑体" w:cs="黑体"/>
          <w:b/>
          <w:bCs/>
          <w:i w:val="0"/>
          <w:caps w:val="0"/>
          <w:color w:val="333333"/>
          <w:spacing w:val="0"/>
          <w:sz w:val="32"/>
          <w:szCs w:val="32"/>
        </w:rPr>
      </w:pPr>
      <w:r>
        <w:rPr>
          <w:rFonts w:ascii="黑体" w:hAnsi="宋体" w:eastAsia="黑体" w:cs="黑体"/>
          <w:b/>
          <w:bCs/>
          <w:i w:val="0"/>
          <w:caps w:val="0"/>
          <w:color w:val="333333"/>
          <w:spacing w:val="0"/>
          <w:sz w:val="32"/>
          <w:szCs w:val="32"/>
        </w:rPr>
        <w:t>总体情况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default" w:ascii="仿宋_GB2312" w:hAnsi="微软雅黑" w:eastAsia="仿宋_GB2312" w:cs="仿宋_GB2312"/>
          <w:b/>
          <w:bCs/>
          <w:i w:val="0"/>
          <w:caps w:val="0"/>
          <w:color w:val="000000"/>
          <w:spacing w:val="0"/>
          <w:sz w:val="32"/>
          <w:szCs w:val="32"/>
          <w:shd w:val="clear" w:fill="FFFFFF"/>
          <w:lang w:val="en-US" w:eastAsia="zh-CN"/>
        </w:rPr>
      </w:pPr>
      <w:r>
        <w:rPr>
          <w:rFonts w:hint="default" w:ascii="Times New Roman" w:hAnsi="Times New Roman" w:eastAsia="仿宋_GB2312" w:cs="Times New Roman"/>
          <w:b/>
          <w:bCs/>
          <w:i w:val="0"/>
          <w:caps w:val="0"/>
          <w:color w:val="000000"/>
          <w:spacing w:val="0"/>
          <w:sz w:val="32"/>
          <w:szCs w:val="32"/>
          <w:shd w:val="clear" w:fill="FFFFFF"/>
          <w:lang w:val="en-US" w:eastAsia="zh-CN"/>
        </w:rPr>
        <w:t>202</w:t>
      </w:r>
      <w:r>
        <w:rPr>
          <w:rFonts w:hint="eastAsia" w:ascii="Times New Roman" w:hAnsi="Times New Roman" w:eastAsia="仿宋_GB2312" w:cs="Times New Roman"/>
          <w:b/>
          <w:bCs/>
          <w:i w:val="0"/>
          <w:caps w:val="0"/>
          <w:color w:val="000000"/>
          <w:spacing w:val="0"/>
          <w:sz w:val="32"/>
          <w:szCs w:val="32"/>
          <w:shd w:val="clear" w:fill="FFFFFF"/>
          <w:lang w:val="en-US" w:eastAsia="zh-CN"/>
        </w:rPr>
        <w:t>3</w:t>
      </w:r>
      <w:r>
        <w:rPr>
          <w:rFonts w:hint="default" w:ascii="仿宋_GB2312" w:hAnsi="微软雅黑" w:eastAsia="仿宋_GB2312" w:cs="仿宋_GB2312"/>
          <w:b/>
          <w:bCs/>
          <w:i w:val="0"/>
          <w:caps w:val="0"/>
          <w:color w:val="000000"/>
          <w:spacing w:val="0"/>
          <w:sz w:val="32"/>
          <w:szCs w:val="32"/>
          <w:shd w:val="clear" w:fill="FFFFFF"/>
          <w:lang w:val="en-US" w:eastAsia="zh-CN"/>
        </w:rPr>
        <w:t>年我镇认真贯彻落实上级文件要求，严格按照政府信息公开的工作要求，认真研究部署</w:t>
      </w:r>
      <w:r>
        <w:rPr>
          <w:rFonts w:hint="eastAsia" w:ascii="仿宋_GB2312" w:hAnsi="微软雅黑" w:eastAsia="仿宋_GB2312" w:cs="仿宋_GB2312"/>
          <w:b/>
          <w:bCs/>
          <w:i w:val="0"/>
          <w:caps w:val="0"/>
          <w:color w:val="000000"/>
          <w:spacing w:val="0"/>
          <w:sz w:val="32"/>
          <w:szCs w:val="32"/>
          <w:shd w:val="clear" w:fill="FFFFFF"/>
          <w:lang w:val="en-US" w:eastAsia="zh-CN"/>
        </w:rPr>
        <w:t>南阳</w:t>
      </w:r>
      <w:r>
        <w:rPr>
          <w:rFonts w:hint="default" w:ascii="仿宋_GB2312" w:hAnsi="微软雅黑" w:eastAsia="仿宋_GB2312" w:cs="仿宋_GB2312"/>
          <w:b/>
          <w:bCs/>
          <w:i w:val="0"/>
          <w:caps w:val="0"/>
          <w:color w:val="000000"/>
          <w:spacing w:val="0"/>
          <w:sz w:val="32"/>
          <w:szCs w:val="32"/>
          <w:shd w:val="clear" w:fill="FFFFFF"/>
          <w:lang w:val="en-US" w:eastAsia="zh-CN"/>
        </w:rPr>
        <w:t>镇信息公开工作的开展，健全信息公开工作机制，进一步规范信息公开程序，及时、准确地向社会公开政府信息。</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shd w:val="clear" w:fill="FFFFFF"/>
        </w:rPr>
      </w:pPr>
      <w:r>
        <w:rPr>
          <w:rFonts w:hint="eastAsia" w:ascii="楷体_GB2312" w:hAnsi="楷体_GB2312" w:eastAsia="楷体_GB2312" w:cs="楷体_GB2312"/>
          <w:b/>
          <w:bCs/>
          <w:i w:val="0"/>
          <w:caps w:val="0"/>
          <w:color w:val="000000"/>
          <w:spacing w:val="0"/>
          <w:sz w:val="32"/>
          <w:szCs w:val="32"/>
          <w:shd w:val="clear" w:fill="FFFFFF"/>
        </w:rPr>
        <w:t>（</w:t>
      </w:r>
      <w:r>
        <w:rPr>
          <w:rFonts w:hint="eastAsia" w:ascii="楷体_GB2312" w:hAnsi="楷体_GB2312" w:eastAsia="楷体_GB2312" w:cs="楷体_GB2312"/>
          <w:b/>
          <w:bCs/>
          <w:i w:val="0"/>
          <w:caps w:val="0"/>
          <w:color w:val="000000"/>
          <w:spacing w:val="0"/>
          <w:sz w:val="32"/>
          <w:szCs w:val="32"/>
          <w:shd w:val="clear" w:fill="FFFFFF"/>
          <w:lang w:eastAsia="zh-CN"/>
        </w:rPr>
        <w:t>一</w:t>
      </w:r>
      <w:r>
        <w:rPr>
          <w:rFonts w:hint="eastAsia" w:ascii="楷体_GB2312" w:hAnsi="楷体_GB2312" w:eastAsia="楷体_GB2312" w:cs="楷体_GB2312"/>
          <w:b/>
          <w:bCs/>
          <w:i w:val="0"/>
          <w:caps w:val="0"/>
          <w:color w:val="000000"/>
          <w:spacing w:val="0"/>
          <w:sz w:val="32"/>
          <w:szCs w:val="32"/>
          <w:shd w:val="clear" w:fill="FFFFFF"/>
        </w:rPr>
        <w:t>）主动公开情况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default"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南阳</w:t>
      </w:r>
      <w:r>
        <w:rPr>
          <w:rFonts w:hint="default" w:ascii="仿宋_GB2312" w:hAnsi="微软雅黑" w:eastAsia="仿宋_GB2312" w:cs="仿宋_GB2312"/>
          <w:b/>
          <w:bCs/>
          <w:i w:val="0"/>
          <w:caps w:val="0"/>
          <w:color w:val="000000"/>
          <w:spacing w:val="0"/>
          <w:sz w:val="32"/>
          <w:szCs w:val="32"/>
          <w:shd w:val="clear" w:fill="FFFFFF"/>
          <w:lang w:val="en-US" w:eastAsia="zh-CN"/>
        </w:rPr>
        <w:t>镇结合自身实际，按省、市、县政府信息公开工作要求，进一步细化政府信息公开相关制度和工作措施。建立健全政府信息上报制度、政府信息审核制度、政府信息公开保密审查制度。</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shd w:val="clear" w:fill="FFFFFF"/>
        </w:rPr>
      </w:pPr>
      <w:r>
        <w:rPr>
          <w:rFonts w:hint="eastAsia" w:ascii="楷体_GB2312" w:hAnsi="楷体_GB2312" w:eastAsia="楷体_GB2312" w:cs="楷体_GB2312"/>
          <w:b/>
          <w:bCs/>
          <w:i w:val="0"/>
          <w:caps w:val="0"/>
          <w:color w:val="000000"/>
          <w:spacing w:val="0"/>
          <w:sz w:val="32"/>
          <w:szCs w:val="32"/>
          <w:shd w:val="clear" w:fill="FFFFFF"/>
        </w:rPr>
        <w:t>（二）依申请公开情况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Times New Roman" w:hAnsi="Times New Roman" w:eastAsia="仿宋_GB2312" w:cs="Times New Roman"/>
          <w:b/>
          <w:bCs/>
          <w:i w:val="0"/>
          <w:caps w:val="0"/>
          <w:color w:val="000000"/>
          <w:spacing w:val="0"/>
          <w:sz w:val="32"/>
          <w:szCs w:val="32"/>
          <w:shd w:val="clear" w:fill="FFFFFF"/>
          <w:lang w:val="en-US" w:eastAsia="zh-CN"/>
        </w:rPr>
        <w:t>2023</w:t>
      </w:r>
      <w:r>
        <w:rPr>
          <w:rFonts w:hint="eastAsia" w:ascii="仿宋_GB2312" w:hAnsi="微软雅黑" w:eastAsia="仿宋_GB2312" w:cs="仿宋_GB2312"/>
          <w:b/>
          <w:bCs/>
          <w:i w:val="0"/>
          <w:caps w:val="0"/>
          <w:color w:val="000000"/>
          <w:spacing w:val="0"/>
          <w:sz w:val="32"/>
          <w:szCs w:val="32"/>
          <w:shd w:val="clear" w:fill="FFFFFF"/>
          <w:lang w:val="en-US" w:eastAsia="zh-CN"/>
        </w:rPr>
        <w:t>以来，我镇无依申请公开情况。南阳镇高度重视依申请公开工作，不断完善制度机制，坚持依法规范办理，狠抓依申请办理质量，切实保障公众知情权，积极化解社会矛盾。</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rPr>
        <w:t>（三）政府信息管理情况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我镇</w:t>
      </w:r>
      <w:r>
        <w:rPr>
          <w:rFonts w:hint="default" w:ascii="仿宋_GB2312" w:hAnsi="微软雅黑" w:eastAsia="仿宋_GB2312" w:cs="仿宋_GB2312"/>
          <w:b/>
          <w:bCs/>
          <w:i w:val="0"/>
          <w:caps w:val="0"/>
          <w:color w:val="000000"/>
          <w:spacing w:val="0"/>
          <w:sz w:val="32"/>
          <w:szCs w:val="32"/>
          <w:shd w:val="clear" w:fill="FFFFFF"/>
          <w:lang w:val="en-US" w:eastAsia="zh-CN"/>
        </w:rPr>
        <w:t>严格按照“以公开为原则，以不公开为例外”的原则，科学划分“主动公开、依申请公开和不公开”三类信息，全部完成</w:t>
      </w:r>
      <w:r>
        <w:rPr>
          <w:rFonts w:hint="default" w:ascii="Times New Roman" w:hAnsi="Times New Roman" w:eastAsia="仿宋_GB2312" w:cs="Times New Roman"/>
          <w:b/>
          <w:bCs/>
          <w:i w:val="0"/>
          <w:caps w:val="0"/>
          <w:color w:val="000000"/>
          <w:spacing w:val="0"/>
          <w:sz w:val="32"/>
          <w:szCs w:val="32"/>
          <w:shd w:val="clear" w:fill="FFFFFF"/>
          <w:lang w:val="en-US" w:eastAsia="zh-CN"/>
        </w:rPr>
        <w:t>202</w:t>
      </w:r>
      <w:r>
        <w:rPr>
          <w:rFonts w:hint="eastAsia" w:ascii="Times New Roman" w:hAnsi="Times New Roman" w:eastAsia="仿宋_GB2312" w:cs="Times New Roman"/>
          <w:b/>
          <w:bCs/>
          <w:i w:val="0"/>
          <w:caps w:val="0"/>
          <w:color w:val="000000"/>
          <w:spacing w:val="0"/>
          <w:sz w:val="32"/>
          <w:szCs w:val="32"/>
          <w:shd w:val="clear" w:fill="FFFFFF"/>
          <w:lang w:val="en-US" w:eastAsia="zh-CN"/>
        </w:rPr>
        <w:t>3</w:t>
      </w:r>
      <w:r>
        <w:rPr>
          <w:rFonts w:hint="default" w:ascii="仿宋_GB2312" w:hAnsi="微软雅黑" w:eastAsia="仿宋_GB2312" w:cs="仿宋_GB2312"/>
          <w:b/>
          <w:bCs/>
          <w:i w:val="0"/>
          <w:caps w:val="0"/>
          <w:color w:val="000000"/>
          <w:spacing w:val="0"/>
          <w:sz w:val="32"/>
          <w:szCs w:val="32"/>
          <w:shd w:val="clear" w:fill="FFFFFF"/>
          <w:lang w:val="en-US" w:eastAsia="zh-CN"/>
        </w:rPr>
        <w:t>年以来的政府信息梳理工作。对</w:t>
      </w:r>
      <w:r>
        <w:rPr>
          <w:rFonts w:hint="default" w:ascii="Times New Roman" w:hAnsi="Times New Roman" w:eastAsia="仿宋_GB2312" w:cs="Times New Roman"/>
          <w:b/>
          <w:bCs/>
          <w:i w:val="0"/>
          <w:caps w:val="0"/>
          <w:color w:val="000000"/>
          <w:spacing w:val="0"/>
          <w:sz w:val="32"/>
          <w:szCs w:val="32"/>
          <w:shd w:val="clear" w:fill="FFFFFF"/>
          <w:lang w:val="en-US" w:eastAsia="zh-CN"/>
        </w:rPr>
        <w:t>202</w:t>
      </w:r>
      <w:r>
        <w:rPr>
          <w:rFonts w:hint="eastAsia" w:ascii="Times New Roman" w:hAnsi="Times New Roman" w:eastAsia="仿宋_GB2312" w:cs="Times New Roman"/>
          <w:b/>
          <w:bCs/>
          <w:i w:val="0"/>
          <w:caps w:val="0"/>
          <w:color w:val="000000"/>
          <w:spacing w:val="0"/>
          <w:sz w:val="32"/>
          <w:szCs w:val="32"/>
          <w:shd w:val="clear" w:fill="FFFFFF"/>
          <w:lang w:val="en-US" w:eastAsia="zh-CN"/>
        </w:rPr>
        <w:t>3</w:t>
      </w:r>
      <w:r>
        <w:rPr>
          <w:rFonts w:hint="default" w:ascii="仿宋_GB2312" w:hAnsi="微软雅黑" w:eastAsia="仿宋_GB2312" w:cs="仿宋_GB2312"/>
          <w:b/>
          <w:bCs/>
          <w:i w:val="0"/>
          <w:caps w:val="0"/>
          <w:color w:val="000000"/>
          <w:spacing w:val="0"/>
          <w:sz w:val="32"/>
          <w:szCs w:val="32"/>
          <w:shd w:val="clear" w:fill="FFFFFF"/>
          <w:lang w:val="en-US" w:eastAsia="zh-CN"/>
        </w:rPr>
        <w:t>年以后的生成的主动公开类政府信息，按照条例规定做到在信息生成或变更</w:t>
      </w:r>
      <w:r>
        <w:rPr>
          <w:rFonts w:hint="default" w:ascii="Times New Roman" w:hAnsi="Times New Roman" w:eastAsia="仿宋_GB2312" w:cs="Times New Roman"/>
          <w:b/>
          <w:bCs/>
          <w:i w:val="0"/>
          <w:caps w:val="0"/>
          <w:color w:val="000000"/>
          <w:spacing w:val="0"/>
          <w:sz w:val="32"/>
          <w:szCs w:val="32"/>
          <w:shd w:val="clear" w:fill="FFFFFF"/>
          <w:lang w:val="en-US" w:eastAsia="zh-CN"/>
        </w:rPr>
        <w:t>20</w:t>
      </w:r>
      <w:r>
        <w:rPr>
          <w:rFonts w:hint="default" w:ascii="仿宋_GB2312" w:hAnsi="微软雅黑" w:eastAsia="仿宋_GB2312" w:cs="仿宋_GB2312"/>
          <w:b/>
          <w:bCs/>
          <w:i w:val="0"/>
          <w:caps w:val="0"/>
          <w:color w:val="000000"/>
          <w:spacing w:val="0"/>
          <w:sz w:val="32"/>
          <w:szCs w:val="32"/>
          <w:shd w:val="clear" w:fill="FFFFFF"/>
          <w:lang w:val="en-US" w:eastAsia="zh-CN"/>
        </w:rPr>
        <w:t>个工作日内予以公开，依申请公开类信息在受理申请</w:t>
      </w:r>
      <w:r>
        <w:rPr>
          <w:rFonts w:hint="default" w:ascii="Times New Roman" w:hAnsi="Times New Roman" w:eastAsia="仿宋_GB2312" w:cs="Times New Roman"/>
          <w:b/>
          <w:bCs/>
          <w:i w:val="0"/>
          <w:caps w:val="0"/>
          <w:color w:val="000000"/>
          <w:spacing w:val="0"/>
          <w:sz w:val="32"/>
          <w:szCs w:val="32"/>
          <w:shd w:val="clear" w:fill="FFFFFF"/>
          <w:lang w:val="en-US" w:eastAsia="zh-CN"/>
        </w:rPr>
        <w:t>15</w:t>
      </w:r>
      <w:r>
        <w:rPr>
          <w:rFonts w:hint="default" w:ascii="仿宋_GB2312" w:hAnsi="微软雅黑" w:eastAsia="仿宋_GB2312" w:cs="仿宋_GB2312"/>
          <w:b/>
          <w:bCs/>
          <w:i w:val="0"/>
          <w:caps w:val="0"/>
          <w:color w:val="000000"/>
          <w:spacing w:val="0"/>
          <w:sz w:val="32"/>
          <w:szCs w:val="32"/>
          <w:shd w:val="clear" w:fill="FFFFFF"/>
          <w:lang w:val="en-US" w:eastAsia="zh-CN"/>
        </w:rPr>
        <w:t>个工作日内答复。</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rPr>
        <w:t>（四）政府信息公开平台建设情况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网站是政务公开的主战场，公开目录标准化规范化建设是核心。南阳镇政府门户网站严格按照“五公开”要求设置重点领域、政策解读、新闻发布、回应关切等目录。加强政策解读和办事服务工作，进一步丰富公开形式和内容，拓展公开的覆盖面。</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楷体_GB2312" w:hAnsi="楷体_GB2312" w:eastAsia="楷体_GB2312" w:cs="楷体_GB2312"/>
          <w:b/>
          <w:bCs/>
          <w:i w:val="0"/>
          <w:caps w:val="0"/>
          <w:color w:val="000000"/>
          <w:spacing w:val="0"/>
          <w:sz w:val="32"/>
          <w:szCs w:val="32"/>
          <w:shd w:val="clear" w:fill="FFFFFF"/>
          <w:lang w:val="en-US" w:eastAsia="zh-CN"/>
        </w:rPr>
      </w:pPr>
      <w:r>
        <w:rPr>
          <w:rFonts w:hint="eastAsia" w:ascii="楷体_GB2312" w:hAnsi="楷体_GB2312" w:eastAsia="楷体_GB2312" w:cs="楷体_GB2312"/>
          <w:b/>
          <w:bCs/>
          <w:i w:val="0"/>
          <w:caps w:val="0"/>
          <w:color w:val="000000"/>
          <w:spacing w:val="0"/>
          <w:sz w:val="32"/>
          <w:szCs w:val="32"/>
          <w:shd w:val="clear" w:fill="FFFFFF"/>
          <w:lang w:val="en-US" w:eastAsia="zh-CN"/>
        </w:rPr>
        <w:t>（五）监督保障情况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default"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南</w:t>
      </w:r>
      <w:r>
        <w:rPr>
          <w:rFonts w:hint="eastAsia" w:ascii="仿宋_GB2312" w:hAnsi="微软雅黑" w:eastAsia="仿宋_GB2312" w:cs="仿宋_GB2312"/>
          <w:b/>
          <w:bCs/>
          <w:i w:val="0"/>
          <w:caps w:val="0"/>
          <w:color w:val="000000"/>
          <w:spacing w:val="0"/>
          <w:sz w:val="32"/>
          <w:szCs w:val="32"/>
          <w:shd w:val="clear" w:fill="FFFFFF"/>
          <w:lang w:val="en-US" w:eastAsia="zh-CN"/>
        </w:rPr>
        <w:t>阳镇严格全镇</w:t>
      </w:r>
      <w:r>
        <w:rPr>
          <w:rFonts w:hint="default" w:ascii="Times New Roman" w:hAnsi="Times New Roman" w:eastAsia="仿宋_GB2312" w:cs="Times New Roman"/>
          <w:b/>
          <w:bCs/>
          <w:i w:val="0"/>
          <w:caps w:val="0"/>
          <w:color w:val="000000"/>
          <w:spacing w:val="0"/>
          <w:sz w:val="32"/>
          <w:szCs w:val="32"/>
          <w:shd w:val="clear" w:fill="FFFFFF"/>
          <w:lang w:val="en-US" w:eastAsia="zh-CN"/>
        </w:rPr>
        <w:t>202</w:t>
      </w:r>
      <w:r>
        <w:rPr>
          <w:rFonts w:hint="eastAsia" w:ascii="Times New Roman" w:hAnsi="Times New Roman" w:eastAsia="仿宋_GB2312" w:cs="Times New Roman"/>
          <w:b/>
          <w:bCs/>
          <w:i w:val="0"/>
          <w:caps w:val="0"/>
          <w:color w:val="000000"/>
          <w:spacing w:val="0"/>
          <w:sz w:val="32"/>
          <w:szCs w:val="32"/>
          <w:shd w:val="clear" w:fill="FFFFFF"/>
          <w:lang w:val="en-US" w:eastAsia="zh-CN"/>
        </w:rPr>
        <w:t>3</w:t>
      </w:r>
      <w:r>
        <w:rPr>
          <w:rFonts w:hint="default" w:ascii="仿宋_GB2312" w:hAnsi="微软雅黑" w:eastAsia="仿宋_GB2312" w:cs="仿宋_GB2312"/>
          <w:b/>
          <w:bCs/>
          <w:i w:val="0"/>
          <w:caps w:val="0"/>
          <w:color w:val="000000"/>
          <w:spacing w:val="0"/>
          <w:sz w:val="32"/>
          <w:szCs w:val="32"/>
          <w:shd w:val="clear" w:fill="FFFFFF"/>
          <w:lang w:val="en-US" w:eastAsia="zh-CN"/>
        </w:rPr>
        <w:t>年度政府信息公开工作考核，用制度规范行为、按制度办事、靠制度管人，加强了对行政权力的民主监督，方便了群众办事，有力地促进了我镇各项业务工作的有序开展。</w:t>
      </w:r>
    </w:p>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bCs w:val="0"/>
          <w:color w:val="000000" w:themeColor="text1"/>
          <w:sz w:val="32"/>
          <w:szCs w:val="32"/>
          <w14:textFill>
            <w14:solidFill>
              <w14:schemeClr w14:val="tx1"/>
            </w14:solidFill>
          </w14:textFill>
        </w:rPr>
      </w:pPr>
      <w:r>
        <w:rPr>
          <w:rFonts w:hint="eastAsia" w:ascii="黑体" w:hAnsi="黑体" w:eastAsia="黑体" w:cs="黑体"/>
          <w:b/>
          <w:bCs w:val="0"/>
          <w:color w:val="000000" w:themeColor="text1"/>
          <w:sz w:val="32"/>
          <w:szCs w:val="32"/>
          <w14:textFill>
            <w14:solidFill>
              <w14:schemeClr w14:val="tx1"/>
            </w14:solidFill>
          </w14:textFill>
        </w:rPr>
        <w:t>二、主动公开政府信息情况</w:t>
      </w:r>
    </w:p>
    <w:tbl>
      <w:tblPr>
        <w:tblStyle w:val="4"/>
        <w:tblW w:w="877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0" w:type="dxa"/>
          <w:bottom w:w="0" w:type="dxa"/>
          <w:right w:w="0" w:type="dxa"/>
        </w:tblCellMar>
      </w:tblPr>
      <w:tblGrid>
        <w:gridCol w:w="2435"/>
        <w:gridCol w:w="2133"/>
        <w:gridCol w:w="2216"/>
        <w:gridCol w:w="19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黑体简体" w:eastAsia="方正黑体简体"/>
                <w:b/>
                <w:sz w:val="24"/>
                <w:szCs w:val="24"/>
              </w:rPr>
            </w:pPr>
            <w:r>
              <w:rPr>
                <w:rFonts w:hint="eastAsia" w:ascii="方正黑体简体" w:hAnsi="宋体" w:eastAsia="方正黑体简体" w:cs="宋体"/>
                <w:b/>
                <w:sz w:val="24"/>
                <w:szCs w:val="24"/>
                <w:lang w:bidi="ar"/>
              </w:rPr>
              <w:t>第二十条第（一）项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本年制发件数</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本年废止件数</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现行有效件数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规章</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行政规范性文件</w:t>
            </w:r>
          </w:p>
        </w:tc>
        <w:tc>
          <w:tcPr>
            <w:tcW w:w="2133"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default" w:ascii="方正仿宋简体" w:eastAsia="方正仿宋简体"/>
                <w:b/>
                <w:sz w:val="24"/>
                <w:szCs w:val="24"/>
                <w:lang w:val="en-US"/>
              </w:rPr>
            </w:pPr>
            <w:r>
              <w:rPr>
                <w:rFonts w:hint="eastAsia" w:ascii="方正仿宋简体" w:hAnsi="宋体" w:eastAsia="方正仿宋简体" w:cs="宋体"/>
                <w:b/>
                <w:sz w:val="24"/>
                <w:szCs w:val="24"/>
                <w:lang w:val="en-US" w:eastAsia="zh-CN" w:bidi="ar"/>
              </w:rPr>
              <w:t>0</w:t>
            </w:r>
          </w:p>
        </w:tc>
        <w:tc>
          <w:tcPr>
            <w:tcW w:w="2216"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val="en-US" w:eastAsia="zh-CN" w:bidi="ar"/>
              </w:rPr>
              <w:t>0</w:t>
            </w:r>
          </w:p>
        </w:tc>
        <w:tc>
          <w:tcPr>
            <w:tcW w:w="1989"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第二十条第（五）项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行政许可</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Calibri" w:eastAsia="方正仿宋简体" w:cs="Calibri"/>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第二十条第（六）项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本年处理决定数量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行政处罚</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行政强制</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hAnsi="宋体" w:eastAsia="方正仿宋简体" w:cs="宋体"/>
                <w:b/>
                <w:sz w:val="24"/>
                <w:szCs w:val="24"/>
                <w:lang w:val="en-US" w:eastAsia="zh-CN" w:bidi="ar"/>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8773" w:type="dxa"/>
            <w:gridSpan w:val="4"/>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黑体简体" w:hAnsi="宋体" w:eastAsia="方正黑体简体" w:cs="宋体"/>
                <w:b/>
                <w:sz w:val="24"/>
                <w:szCs w:val="24"/>
                <w:lang w:bidi="ar"/>
              </w:rPr>
              <w:t>第二十条第（八）项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信息内容</w:t>
            </w:r>
          </w:p>
        </w:tc>
        <w:tc>
          <w:tcPr>
            <w:tcW w:w="6338" w:type="dxa"/>
            <w:gridSpan w:val="3"/>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center"/>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本年收费金额（单位：万元）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40" w:hRule="atLeast"/>
          <w:jc w:val="center"/>
        </w:trPr>
        <w:tc>
          <w:tcPr>
            <w:tcW w:w="2435" w:type="dxa"/>
            <w:shd w:val="clear" w:color="auto" w:fill="auto"/>
            <w:tcMar>
              <w:left w:w="57" w:type="dxa"/>
              <w:right w:w="57" w:type="dxa"/>
            </w:tcMar>
            <w:vAlign w:val="center"/>
          </w:tcPr>
          <w:p>
            <w:pPr>
              <w:keepNext w:val="0"/>
              <w:keepLines w:val="0"/>
              <w:pageBreakBefore w:val="0"/>
              <w:widowControl/>
              <w:shd w:val="clear"/>
              <w:kinsoku/>
              <w:wordWrap/>
              <w:overflowPunct/>
              <w:topLinePunct w:val="0"/>
              <w:autoSpaceDE/>
              <w:autoSpaceDN/>
              <w:bidi w:val="0"/>
              <w:adjustRightInd/>
              <w:snapToGrid/>
              <w:spacing w:line="340" w:lineRule="exact"/>
              <w:ind w:firstLine="482" w:firstLineChars="200"/>
              <w:jc w:val="left"/>
              <w:textAlignment w:val="auto"/>
              <w:rPr>
                <w:rFonts w:ascii="方正仿宋简体" w:eastAsia="方正仿宋简体"/>
                <w:b/>
                <w:sz w:val="24"/>
                <w:szCs w:val="24"/>
              </w:rPr>
            </w:pPr>
            <w:r>
              <w:rPr>
                <w:rFonts w:hint="eastAsia" w:ascii="方正仿宋简体" w:hAnsi="宋体" w:eastAsia="方正仿宋简体" w:cs="宋体"/>
                <w:b/>
                <w:sz w:val="24"/>
                <w:szCs w:val="24"/>
                <w:lang w:bidi="ar"/>
              </w:rPr>
              <w:t>行政事业性收费</w:t>
            </w:r>
          </w:p>
        </w:tc>
        <w:tc>
          <w:tcPr>
            <w:tcW w:w="6338" w:type="dxa"/>
            <w:gridSpan w:val="3"/>
            <w:shd w:val="clear" w:color="auto" w:fill="auto"/>
            <w:tcMar>
              <w:left w:w="57" w:type="dxa"/>
              <w:right w:w="57" w:type="dxa"/>
            </w:tcMar>
            <w:vAlign w:val="center"/>
          </w:tcPr>
          <w:p>
            <w:pPr>
              <w:keepNext w:val="0"/>
              <w:keepLines w:val="0"/>
              <w:pageBreakBefore w:val="0"/>
              <w:shd w:val="clear"/>
              <w:kinsoku/>
              <w:wordWrap/>
              <w:overflowPunct/>
              <w:topLinePunct w:val="0"/>
              <w:autoSpaceDE/>
              <w:autoSpaceDN/>
              <w:bidi w:val="0"/>
              <w:adjustRightInd/>
              <w:snapToGrid/>
              <w:spacing w:line="340" w:lineRule="exact"/>
              <w:ind w:firstLine="482" w:firstLineChars="200"/>
              <w:jc w:val="center"/>
              <w:textAlignment w:val="auto"/>
              <w:rPr>
                <w:rFonts w:hint="eastAsia" w:ascii="方正仿宋简体" w:eastAsia="方正仿宋简体"/>
                <w:b/>
                <w:sz w:val="24"/>
                <w:szCs w:val="24"/>
                <w:lang w:val="en-US" w:eastAsia="zh-CN"/>
              </w:rPr>
            </w:pPr>
            <w:r>
              <w:rPr>
                <w:rFonts w:hint="eastAsia" w:ascii="方正仿宋简体" w:eastAsia="方正仿宋简体"/>
                <w:b/>
                <w:sz w:val="24"/>
                <w:szCs w:val="24"/>
                <w:lang w:val="en-US" w:eastAsia="zh-CN"/>
              </w:rPr>
              <w:t>0</w:t>
            </w:r>
          </w:p>
        </w:tc>
      </w:tr>
    </w:tbl>
    <w:p>
      <w:pPr>
        <w:keepNext w:val="0"/>
        <w:keepLines w:val="0"/>
        <w:pageBreakBefore w:val="0"/>
        <w:shd w:val="clear"/>
        <w:kinsoku/>
        <w:wordWrap/>
        <w:overflowPunct/>
        <w:topLinePunct w:val="0"/>
        <w:autoSpaceDE/>
        <w:autoSpaceDN/>
        <w:bidi w:val="0"/>
        <w:adjustRightInd/>
        <w:snapToGrid/>
        <w:spacing w:before="62" w:beforeLines="10" w:after="62" w:afterLines="10" w:line="600" w:lineRule="exact"/>
        <w:ind w:left="420" w:leftChars="0" w:firstLine="420" w:firstLineChars="0"/>
        <w:textAlignment w:val="auto"/>
        <w:rPr>
          <w:rFonts w:ascii="方正黑体简体" w:eastAsia="方正黑体简体"/>
          <w:b/>
          <w:sz w:val="32"/>
          <w:szCs w:val="32"/>
        </w:rPr>
      </w:pPr>
      <w:r>
        <w:rPr>
          <w:rFonts w:hint="eastAsia" w:ascii="黑体" w:hAnsi="黑体" w:eastAsia="黑体" w:cs="黑体"/>
          <w:b/>
          <w:sz w:val="32"/>
          <w:szCs w:val="32"/>
        </w:rPr>
        <w:t>三、收到和处理政府信息公开申请情况</w:t>
      </w:r>
    </w:p>
    <w:tbl>
      <w:tblPr>
        <w:tblStyle w:val="4"/>
        <w:tblW w:w="97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823"/>
        <w:gridCol w:w="1878"/>
        <w:gridCol w:w="2238"/>
        <w:gridCol w:w="622"/>
        <w:gridCol w:w="643"/>
        <w:gridCol w:w="657"/>
        <w:gridCol w:w="1052"/>
        <w:gridCol w:w="897"/>
        <w:gridCol w:w="434"/>
        <w:gridCol w:w="4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38" w:hRule="atLeast"/>
          <w:jc w:val="center"/>
        </w:trPr>
        <w:tc>
          <w:tcPr>
            <w:tcW w:w="4939" w:type="dxa"/>
            <w:gridSpan w:val="3"/>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（本列数据的勾稽关系为：第一项加第二项之和，</w:t>
            </w:r>
          </w:p>
          <w:p>
            <w:pPr>
              <w:widowControl/>
              <w:shd w:val="clear"/>
              <w:spacing w:line="260" w:lineRule="exact"/>
              <w:jc w:val="center"/>
              <w:rPr>
                <w:rFonts w:ascii="方正黑体简体" w:eastAsia="方正黑体简体"/>
                <w:b/>
                <w:sz w:val="21"/>
                <w:szCs w:val="21"/>
              </w:rPr>
            </w:pPr>
            <w:r>
              <w:rPr>
                <w:rFonts w:hint="eastAsia" w:ascii="方正黑体简体" w:hAnsi="黑体" w:eastAsia="方正黑体简体"/>
                <w:b/>
                <w:sz w:val="21"/>
                <w:szCs w:val="21"/>
              </w:rPr>
              <w:t>等于第三项加第四项之和）</w:t>
            </w:r>
          </w:p>
        </w:tc>
        <w:tc>
          <w:tcPr>
            <w:tcW w:w="4780" w:type="dxa"/>
            <w:gridSpan w:val="7"/>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申请人情况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vMerge w:val="continue"/>
            <w:shd w:val="clear" w:color="auto" w:fill="auto"/>
            <w:tcMar>
              <w:left w:w="108" w:type="dxa"/>
              <w:right w:w="108" w:type="dxa"/>
            </w:tcMar>
            <w:vAlign w:val="center"/>
          </w:tcPr>
          <w:p>
            <w:pPr>
              <w:shd w:val="clear"/>
              <w:spacing w:line="260" w:lineRule="exact"/>
              <w:jc w:val="center"/>
              <w:rPr>
                <w:rFonts w:ascii="方正黑体简体" w:eastAsia="方正黑体简体"/>
                <w:b/>
                <w:sz w:val="21"/>
                <w:szCs w:val="21"/>
              </w:rPr>
            </w:pPr>
          </w:p>
        </w:tc>
        <w:tc>
          <w:tcPr>
            <w:tcW w:w="622" w:type="dxa"/>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自然人</w:t>
            </w:r>
          </w:p>
        </w:tc>
        <w:tc>
          <w:tcPr>
            <w:tcW w:w="3683" w:type="dxa"/>
            <w:gridSpan w:val="5"/>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法人或其他组织</w:t>
            </w:r>
          </w:p>
        </w:tc>
        <w:tc>
          <w:tcPr>
            <w:tcW w:w="475" w:type="dxa"/>
            <w:vMerge w:val="restart"/>
            <w:shd w:val="clear" w:color="auto" w:fill="auto"/>
            <w:tcMar>
              <w:left w:w="108" w:type="dxa"/>
              <w:right w:w="108" w:type="dxa"/>
            </w:tcMar>
            <w:vAlign w:val="center"/>
          </w:tcPr>
          <w:p>
            <w:pPr>
              <w:widowControl/>
              <w:shd w:val="clear"/>
              <w:spacing w:line="260" w:lineRule="exact"/>
              <w:jc w:val="center"/>
              <w:rPr>
                <w:rFonts w:ascii="方正黑体简体" w:hAnsi="黑体" w:eastAsia="方正黑体简体"/>
                <w:b/>
                <w:sz w:val="21"/>
                <w:szCs w:val="21"/>
              </w:rPr>
            </w:pPr>
            <w:r>
              <w:rPr>
                <w:rFonts w:hint="eastAsia" w:ascii="方正黑体简体" w:hAnsi="黑体" w:eastAsia="方正黑体简体"/>
                <w:b/>
                <w:sz w:val="21"/>
                <w:szCs w:val="21"/>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vMerge w:val="continue"/>
            <w:shd w:val="clear" w:color="auto" w:fill="auto"/>
            <w:tcMar>
              <w:left w:w="108" w:type="dxa"/>
              <w:right w:w="108" w:type="dxa"/>
            </w:tcMar>
            <w:vAlign w:val="center"/>
          </w:tcPr>
          <w:p>
            <w:pPr>
              <w:shd w:val="clear"/>
              <w:spacing w:line="260" w:lineRule="exact"/>
              <w:jc w:val="center"/>
              <w:rPr>
                <w:rFonts w:ascii="方正仿宋简体" w:eastAsia="方正仿宋简体"/>
                <w:b/>
                <w:sz w:val="21"/>
                <w:szCs w:val="21"/>
              </w:rPr>
            </w:pPr>
          </w:p>
        </w:tc>
        <w:tc>
          <w:tcPr>
            <w:tcW w:w="622" w:type="dxa"/>
            <w:vMerge w:val="continue"/>
            <w:shd w:val="clear" w:color="auto" w:fill="auto"/>
            <w:tcMar>
              <w:left w:w="108" w:type="dxa"/>
              <w:right w:w="108" w:type="dxa"/>
            </w:tcMar>
            <w:vAlign w:val="center"/>
          </w:tcPr>
          <w:p>
            <w:pPr>
              <w:shd w:val="clear"/>
              <w:spacing w:line="260" w:lineRule="exact"/>
              <w:jc w:val="center"/>
              <w:rPr>
                <w:rFonts w:ascii="方正仿宋简体" w:hAnsi="黑体" w:eastAsia="方正仿宋简体"/>
                <w:b/>
                <w:sz w:val="21"/>
                <w:szCs w:val="21"/>
              </w:rPr>
            </w:pPr>
          </w:p>
        </w:tc>
        <w:tc>
          <w:tcPr>
            <w:tcW w:w="643" w:type="dxa"/>
            <w:shd w:val="clear" w:color="auto" w:fill="auto"/>
            <w:tcMar>
              <w:left w:w="108" w:type="dxa"/>
              <w:right w:w="108" w:type="dxa"/>
            </w:tcMar>
            <w:vAlign w:val="center"/>
          </w:tcPr>
          <w:p>
            <w:pPr>
              <w:widowControl/>
              <w:shd w:val="clear"/>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商业企业</w:t>
            </w:r>
          </w:p>
        </w:tc>
        <w:tc>
          <w:tcPr>
            <w:tcW w:w="657" w:type="dxa"/>
            <w:shd w:val="clear" w:color="auto" w:fill="auto"/>
            <w:tcMar>
              <w:left w:w="108" w:type="dxa"/>
              <w:right w:w="108" w:type="dxa"/>
            </w:tcMar>
            <w:vAlign w:val="center"/>
          </w:tcPr>
          <w:p>
            <w:pPr>
              <w:widowControl/>
              <w:shd w:val="clear"/>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科研机构</w:t>
            </w:r>
          </w:p>
        </w:tc>
        <w:tc>
          <w:tcPr>
            <w:tcW w:w="1052" w:type="dxa"/>
            <w:shd w:val="clear" w:color="auto" w:fill="auto"/>
            <w:tcMar>
              <w:left w:w="108" w:type="dxa"/>
              <w:right w:w="108" w:type="dxa"/>
            </w:tcMar>
            <w:vAlign w:val="center"/>
          </w:tcPr>
          <w:p>
            <w:pPr>
              <w:widowControl/>
              <w:shd w:val="clear"/>
              <w:spacing w:line="260" w:lineRule="exact"/>
              <w:ind w:left="-107" w:leftChars="-51" w:right="-107" w:rightChars="-51"/>
              <w:jc w:val="center"/>
              <w:rPr>
                <w:rFonts w:ascii="方正黑体简体" w:hAnsi="黑体" w:eastAsia="方正黑体简体"/>
                <w:b/>
                <w:sz w:val="21"/>
                <w:szCs w:val="21"/>
              </w:rPr>
            </w:pPr>
            <w:r>
              <w:rPr>
                <w:rFonts w:hint="eastAsia" w:ascii="方正黑体简体" w:hAnsi="黑体" w:eastAsia="方正黑体简体"/>
                <w:b/>
                <w:sz w:val="21"/>
                <w:szCs w:val="21"/>
              </w:rPr>
              <w:t>社会公益组织</w:t>
            </w:r>
          </w:p>
        </w:tc>
        <w:tc>
          <w:tcPr>
            <w:tcW w:w="897" w:type="dxa"/>
            <w:shd w:val="clear" w:color="auto" w:fill="auto"/>
            <w:tcMar>
              <w:left w:w="108" w:type="dxa"/>
              <w:right w:w="108" w:type="dxa"/>
            </w:tcMar>
            <w:vAlign w:val="center"/>
          </w:tcPr>
          <w:p>
            <w:pPr>
              <w:widowControl/>
              <w:shd w:val="clear"/>
              <w:spacing w:line="260" w:lineRule="exact"/>
              <w:ind w:left="-106" w:leftChars="-51" w:right="-107" w:rightChars="-51" w:hanging="1"/>
              <w:jc w:val="center"/>
              <w:rPr>
                <w:rFonts w:ascii="方正黑体简体" w:hAnsi="黑体" w:eastAsia="方正黑体简体"/>
                <w:b/>
                <w:sz w:val="21"/>
                <w:szCs w:val="21"/>
              </w:rPr>
            </w:pPr>
            <w:r>
              <w:rPr>
                <w:rFonts w:hint="eastAsia" w:ascii="方正黑体简体" w:hAnsi="黑体" w:eastAsia="方正黑体简体"/>
                <w:b/>
                <w:sz w:val="21"/>
                <w:szCs w:val="21"/>
              </w:rPr>
              <w:t>法律服务机构</w:t>
            </w:r>
          </w:p>
        </w:tc>
        <w:tc>
          <w:tcPr>
            <w:tcW w:w="434" w:type="dxa"/>
            <w:shd w:val="clear" w:color="auto" w:fill="auto"/>
            <w:tcMar>
              <w:left w:w="108" w:type="dxa"/>
              <w:right w:w="108" w:type="dxa"/>
            </w:tcMar>
            <w:vAlign w:val="center"/>
          </w:tcPr>
          <w:p>
            <w:pPr>
              <w:widowControl/>
              <w:shd w:val="clear"/>
              <w:spacing w:line="260" w:lineRule="exact"/>
              <w:ind w:left="-63" w:leftChars="-30" w:right="-134" w:rightChars="-64"/>
              <w:jc w:val="center"/>
              <w:rPr>
                <w:rFonts w:ascii="方正黑体简体" w:hAnsi="黑体" w:eastAsia="方正黑体简体"/>
                <w:b/>
                <w:sz w:val="21"/>
                <w:szCs w:val="21"/>
              </w:rPr>
            </w:pPr>
            <w:r>
              <w:rPr>
                <w:rFonts w:hint="eastAsia" w:ascii="方正黑体简体" w:hAnsi="黑体" w:eastAsia="方正黑体简体"/>
                <w:b/>
                <w:sz w:val="21"/>
                <w:szCs w:val="21"/>
              </w:rPr>
              <w:t>其他</w:t>
            </w:r>
          </w:p>
        </w:tc>
        <w:tc>
          <w:tcPr>
            <w:tcW w:w="475" w:type="dxa"/>
            <w:vMerge w:val="continue"/>
            <w:shd w:val="clear" w:color="auto" w:fill="auto"/>
            <w:tcMar>
              <w:left w:w="108" w:type="dxa"/>
              <w:right w:w="108" w:type="dxa"/>
            </w:tcMar>
            <w:vAlign w:val="center"/>
          </w:tcPr>
          <w:p>
            <w:pPr>
              <w:shd w:val="clear"/>
              <w:spacing w:line="260" w:lineRule="exact"/>
              <w:jc w:val="center"/>
              <w:rPr>
                <w:rFonts w:ascii="方正仿宋简体" w:eastAsia="方正仿宋简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w:t>
            </w:r>
            <w:bookmarkStart w:id="0" w:name="_Hlk66973412"/>
            <w:r>
              <w:rPr>
                <w:rFonts w:hint="eastAsia" w:ascii="方正仿宋简体" w:hAnsi="黑体" w:eastAsia="方正仿宋简体"/>
                <w:b/>
                <w:sz w:val="21"/>
                <w:szCs w:val="21"/>
              </w:rPr>
              <w:t>本年新收政府信息公开申请数量</w:t>
            </w:r>
            <w:bookmarkEnd w:id="0"/>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二、上年结转政府信息公开申请数量</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restart"/>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三、本年度办理结果</w:t>
            </w: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（一）予以公开</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（二）部分公开（</w:t>
            </w:r>
            <w:bookmarkStart w:id="1" w:name="_Hlk66973981"/>
            <w:r>
              <w:rPr>
                <w:rFonts w:hint="eastAsia" w:ascii="方正仿宋简体" w:hAnsi="黑体" w:eastAsia="方正仿宋简体"/>
                <w:b/>
                <w:sz w:val="21"/>
                <w:szCs w:val="21"/>
              </w:rPr>
              <w:t>区分处理的，只计这一情形，不计其他情形</w:t>
            </w:r>
            <w:bookmarkEnd w:id="1"/>
            <w:r>
              <w:rPr>
                <w:rFonts w:hint="eastAsia" w:ascii="方正仿宋简体" w:hAnsi="黑体" w:eastAsia="方正仿宋简体"/>
                <w:b/>
                <w:sz w:val="21"/>
                <w:szCs w:val="21"/>
              </w:rPr>
              <w:t>）</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（三）不予公开</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1.属于国家秘密</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2" w:name="_Hlk66974104"/>
            <w:r>
              <w:rPr>
                <w:rFonts w:hint="eastAsia" w:ascii="方正仿宋简体" w:hAnsi="黑体" w:eastAsia="方正仿宋简体"/>
                <w:b/>
                <w:sz w:val="21"/>
                <w:szCs w:val="21"/>
              </w:rPr>
              <w:t>其他法律行政法规禁止公开</w:t>
            </w:r>
            <w:bookmarkEnd w:id="2"/>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3.危及“三安全一稳定”</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bookmarkStart w:id="3" w:name="_Hlk66974290"/>
            <w:r>
              <w:rPr>
                <w:rFonts w:hint="eastAsia" w:ascii="方正仿宋简体" w:hAnsi="黑体" w:eastAsia="方正仿宋简体"/>
                <w:b/>
                <w:sz w:val="21"/>
                <w:szCs w:val="21"/>
              </w:rPr>
              <w:t>保护第三方合法权益</w:t>
            </w:r>
            <w:bookmarkEnd w:id="3"/>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5.属于三类内部事务信息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6.</w:t>
            </w:r>
            <w:bookmarkStart w:id="4" w:name="_Hlk66974555"/>
            <w:r>
              <w:rPr>
                <w:rFonts w:hint="eastAsia" w:ascii="方正仿宋简体" w:hAnsi="黑体" w:eastAsia="方正仿宋简体"/>
                <w:b/>
                <w:sz w:val="21"/>
                <w:szCs w:val="21"/>
              </w:rPr>
              <w:t>属于四类过程性信息</w:t>
            </w:r>
            <w:bookmarkEnd w:id="4"/>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7.属于行政执法案卷</w:t>
            </w:r>
          </w:p>
        </w:tc>
        <w:tc>
          <w:tcPr>
            <w:tcW w:w="62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8.</w:t>
            </w:r>
            <w:bookmarkStart w:id="5" w:name="_Hlk66975211"/>
            <w:r>
              <w:rPr>
                <w:rFonts w:hint="eastAsia" w:ascii="方正仿宋简体" w:hAnsi="黑体" w:eastAsia="方正仿宋简体"/>
                <w:b/>
                <w:sz w:val="21"/>
                <w:szCs w:val="21"/>
              </w:rPr>
              <w:t>属于行政查询事项</w:t>
            </w:r>
            <w:bookmarkEnd w:id="5"/>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（四）无法提供</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1.本机关不掌握相关政府信息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ind w:left="-107" w:leftChars="-51"/>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w:t>
            </w:r>
            <w:bookmarkStart w:id="6" w:name="_Hlk66975392"/>
            <w:r>
              <w:rPr>
                <w:rFonts w:hint="eastAsia" w:ascii="方正仿宋简体" w:hAnsi="黑体" w:eastAsia="方正仿宋简体"/>
                <w:b/>
                <w:sz w:val="21"/>
                <w:szCs w:val="21"/>
              </w:rPr>
              <w:t>没有现成信息需要另行制作</w:t>
            </w:r>
            <w:bookmarkEnd w:id="6"/>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ind w:left="-107" w:leftChars="-51"/>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w:t>
            </w:r>
            <w:bookmarkStart w:id="7" w:name="_Hlk66975466"/>
            <w:r>
              <w:rPr>
                <w:rFonts w:hint="eastAsia" w:ascii="方正仿宋简体" w:hAnsi="黑体" w:eastAsia="方正仿宋简体"/>
                <w:b/>
                <w:spacing w:val="-8"/>
                <w:sz w:val="21"/>
                <w:szCs w:val="21"/>
              </w:rPr>
              <w:t>补正后申请内容仍不明确</w:t>
            </w:r>
            <w:bookmarkEnd w:id="7"/>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ind w:left="-107" w:leftChars="-51"/>
              <w:rPr>
                <w:rFonts w:ascii="方正仿宋简体" w:hAnsi="黑体" w:eastAsia="方正仿宋简体"/>
                <w:b/>
                <w:sz w:val="21"/>
                <w:szCs w:val="21"/>
              </w:rPr>
            </w:pPr>
            <w:r>
              <w:rPr>
                <w:rFonts w:hint="eastAsia" w:ascii="方正仿宋简体" w:hAnsi="黑体" w:eastAsia="方正仿宋简体"/>
                <w:b/>
                <w:sz w:val="21"/>
                <w:szCs w:val="21"/>
              </w:rPr>
              <w:t>（五）不予处理</w:t>
            </w: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1.</w:t>
            </w:r>
            <w:bookmarkStart w:id="8" w:name="_Hlk66975537"/>
            <w:r>
              <w:rPr>
                <w:rFonts w:hint="eastAsia" w:ascii="方正仿宋简体" w:hAnsi="黑体" w:eastAsia="方正仿宋简体"/>
                <w:b/>
                <w:sz w:val="21"/>
                <w:szCs w:val="21"/>
              </w:rPr>
              <w:t>信访举报投诉类申请</w:t>
            </w:r>
            <w:bookmarkEnd w:id="8"/>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2.重复申请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3.要求提供公开出版物</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4.</w:t>
            </w:r>
            <w:r>
              <w:rPr>
                <w:rFonts w:hint="eastAsia" w:ascii="方正仿宋简体" w:hAnsi="黑体" w:eastAsia="方正仿宋简体"/>
                <w:b/>
                <w:spacing w:val="-8"/>
                <w:sz w:val="21"/>
                <w:szCs w:val="21"/>
              </w:rPr>
              <w:t>无正当理由大量反复申请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2238" w:type="dxa"/>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5.要求行政机关确认或重新出具已获取信息</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restart"/>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（六）其他处理</w:t>
            </w:r>
          </w:p>
        </w:tc>
        <w:tc>
          <w:tcPr>
            <w:tcW w:w="2238" w:type="dxa"/>
            <w:shd w:val="clear" w:color="auto" w:fill="auto"/>
            <w:vAlign w:val="center"/>
          </w:tcPr>
          <w:p>
            <w:pPr>
              <w:widowControl/>
              <w:shd w:val="clear"/>
              <w:spacing w:line="260" w:lineRule="exact"/>
              <w:rPr>
                <w:rFonts w:ascii="方正仿宋简体" w:hAnsi="楷体" w:eastAsia="方正仿宋简体"/>
                <w:b/>
                <w:sz w:val="21"/>
                <w:szCs w:val="21"/>
              </w:rPr>
            </w:pPr>
            <w:r>
              <w:rPr>
                <w:rFonts w:hint="eastAsia" w:ascii="方正仿宋简体" w:hAnsi="楷体" w:eastAsia="方正仿宋简体"/>
                <w:b/>
                <w:sz w:val="21"/>
                <w:szCs w:val="21"/>
              </w:rPr>
              <w:t>1.申请人无正当理由逾期不补正、行政机关不再处理其政府信息公开申请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79"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p>
        </w:tc>
        <w:tc>
          <w:tcPr>
            <w:tcW w:w="2238" w:type="dxa"/>
            <w:shd w:val="clear" w:color="auto" w:fill="auto"/>
            <w:vAlign w:val="center"/>
          </w:tcPr>
          <w:p>
            <w:pPr>
              <w:widowControl/>
              <w:shd w:val="clear"/>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2.申请人逾期未按收费通知要求缴纳费用、行政机关不再处理其政府信息公开申请</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1878" w:type="dxa"/>
            <w:vMerge w:val="continue"/>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p>
        </w:tc>
        <w:tc>
          <w:tcPr>
            <w:tcW w:w="2238" w:type="dxa"/>
            <w:shd w:val="clear" w:color="auto" w:fill="auto"/>
            <w:vAlign w:val="center"/>
          </w:tcPr>
          <w:p>
            <w:pPr>
              <w:widowControl/>
              <w:shd w:val="clear"/>
              <w:spacing w:line="260" w:lineRule="exact"/>
              <w:rPr>
                <w:rFonts w:ascii="方正仿宋简体" w:hAnsi="黑体" w:eastAsia="方正仿宋简体"/>
                <w:b/>
                <w:sz w:val="21"/>
                <w:szCs w:val="21"/>
              </w:rPr>
            </w:pPr>
            <w:r>
              <w:rPr>
                <w:rFonts w:hint="eastAsia" w:ascii="方正仿宋简体" w:hAnsi="楷体" w:eastAsia="方正仿宋简体"/>
                <w:b/>
                <w:sz w:val="21"/>
                <w:szCs w:val="21"/>
              </w:rPr>
              <w:t>3.其他</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78" w:hRule="atLeast"/>
          <w:jc w:val="center"/>
        </w:trPr>
        <w:tc>
          <w:tcPr>
            <w:tcW w:w="823" w:type="dxa"/>
            <w:vMerge w:val="continue"/>
            <w:shd w:val="clear" w:color="auto" w:fill="auto"/>
            <w:tcMar>
              <w:left w:w="108" w:type="dxa"/>
              <w:right w:w="108" w:type="dxa"/>
            </w:tcMar>
            <w:vAlign w:val="center"/>
          </w:tcPr>
          <w:p>
            <w:pPr>
              <w:shd w:val="clear"/>
              <w:spacing w:line="260" w:lineRule="exact"/>
              <w:rPr>
                <w:rFonts w:ascii="方正仿宋简体" w:hAnsi="黑体" w:eastAsia="方正仿宋简体"/>
                <w:b/>
                <w:sz w:val="21"/>
                <w:szCs w:val="21"/>
              </w:rPr>
            </w:pPr>
          </w:p>
        </w:tc>
        <w:tc>
          <w:tcPr>
            <w:tcW w:w="4116" w:type="dxa"/>
            <w:gridSpan w:val="2"/>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（七）总计</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default" w:ascii="方正仿宋简体" w:eastAsia="方正仿宋简体"/>
                <w:b/>
                <w:sz w:val="21"/>
                <w:szCs w:val="21"/>
                <w:lang w:val="en-US" w:eastAsia="zh-CN"/>
              </w:rPr>
            </w:pPr>
            <w:r>
              <w:rPr>
                <w:rFonts w:hint="eastAsia" w:ascii="方正仿宋简体" w:eastAsia="方正仿宋简体"/>
                <w:b/>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6" w:hRule="atLeast"/>
          <w:jc w:val="center"/>
        </w:trPr>
        <w:tc>
          <w:tcPr>
            <w:tcW w:w="4939" w:type="dxa"/>
            <w:gridSpan w:val="3"/>
            <w:shd w:val="clear" w:color="auto" w:fill="auto"/>
            <w:tcMar>
              <w:left w:w="108" w:type="dxa"/>
              <w:right w:w="108" w:type="dxa"/>
            </w:tcMar>
            <w:vAlign w:val="center"/>
          </w:tcPr>
          <w:p>
            <w:pPr>
              <w:widowControl/>
              <w:shd w:val="clear"/>
              <w:spacing w:line="260" w:lineRule="exact"/>
              <w:rPr>
                <w:rFonts w:ascii="方正仿宋简体" w:hAnsi="黑体" w:eastAsia="方正仿宋简体"/>
                <w:b/>
                <w:sz w:val="21"/>
                <w:szCs w:val="21"/>
              </w:rPr>
            </w:pPr>
            <w:r>
              <w:rPr>
                <w:rFonts w:hint="eastAsia" w:ascii="方正仿宋简体" w:hAnsi="黑体" w:eastAsia="方正仿宋简体"/>
                <w:b/>
                <w:sz w:val="21"/>
                <w:szCs w:val="21"/>
              </w:rPr>
              <w:t>四、结转下年度继续办理</w:t>
            </w:r>
          </w:p>
        </w:tc>
        <w:tc>
          <w:tcPr>
            <w:tcW w:w="62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43"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65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1052"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897"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34"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c>
          <w:tcPr>
            <w:tcW w:w="475" w:type="dxa"/>
            <w:shd w:val="clear" w:color="auto" w:fill="auto"/>
            <w:tcMar>
              <w:left w:w="108" w:type="dxa"/>
              <w:right w:w="108" w:type="dxa"/>
            </w:tcMar>
            <w:vAlign w:val="center"/>
          </w:tcPr>
          <w:p>
            <w:pPr>
              <w:widowControl/>
              <w:shd w:val="clear"/>
              <w:spacing w:line="260" w:lineRule="exact"/>
              <w:jc w:val="center"/>
              <w:rPr>
                <w:rFonts w:hint="eastAsia" w:ascii="方正仿宋简体" w:eastAsia="方正仿宋简体"/>
                <w:b/>
                <w:sz w:val="21"/>
                <w:szCs w:val="21"/>
                <w:lang w:val="en-US" w:eastAsia="zh-CN"/>
              </w:rPr>
            </w:pPr>
            <w:r>
              <w:rPr>
                <w:rFonts w:hint="eastAsia" w:ascii="方正仿宋简体" w:eastAsia="方正仿宋简体"/>
                <w:b/>
                <w:sz w:val="21"/>
                <w:szCs w:val="21"/>
                <w:lang w:val="en-US" w:eastAsia="zh-CN"/>
              </w:rPr>
              <w:t>0</w:t>
            </w:r>
          </w:p>
        </w:tc>
      </w:tr>
    </w:tbl>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四、政府信息公开行政复议、行政诉讼情况</w:t>
      </w:r>
    </w:p>
    <w:tbl>
      <w:tblPr>
        <w:tblStyle w:val="4"/>
        <w:tblW w:w="88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04"/>
        <w:gridCol w:w="604"/>
        <w:gridCol w:w="604"/>
        <w:gridCol w:w="604"/>
        <w:gridCol w:w="479"/>
        <w:gridCol w:w="550"/>
        <w:gridCol w:w="605"/>
        <w:gridCol w:w="605"/>
        <w:gridCol w:w="605"/>
        <w:gridCol w:w="578"/>
        <w:gridCol w:w="605"/>
        <w:gridCol w:w="605"/>
        <w:gridCol w:w="605"/>
        <w:gridCol w:w="606"/>
        <w:gridCol w:w="5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11" w:hRule="atLeast"/>
          <w:jc w:val="center"/>
        </w:trPr>
        <w:tc>
          <w:tcPr>
            <w:tcW w:w="2895"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行政复议</w:t>
            </w:r>
          </w:p>
        </w:tc>
        <w:tc>
          <w:tcPr>
            <w:tcW w:w="5922" w:type="dxa"/>
            <w:gridSpan w:val="10"/>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行政诉讼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47" w:hRule="atLeast"/>
          <w:jc w:val="center"/>
        </w:trPr>
        <w:tc>
          <w:tcPr>
            <w:tcW w:w="604" w:type="dxa"/>
            <w:vMerge w:val="restart"/>
            <w:shd w:val="clear" w:color="auto" w:fill="auto"/>
            <w:tcMar>
              <w:left w:w="108" w:type="dxa"/>
              <w:right w:w="108" w:type="dxa"/>
            </w:tcMar>
            <w:vAlign w:val="center"/>
          </w:tcPr>
          <w:p>
            <w:pPr>
              <w:widowControl/>
              <w:shd w:val="clear"/>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hd w:val="clear"/>
              <w:spacing w:line="320" w:lineRule="exact"/>
              <w:ind w:left="-149" w:leftChars="-71" w:right="-170" w:rightChars="-81"/>
              <w:jc w:val="center"/>
              <w:rPr>
                <w:rFonts w:ascii="方正黑体简体" w:hAnsi="黑体" w:eastAsia="方正黑体简体"/>
                <w:b/>
                <w:sz w:val="24"/>
                <w:szCs w:val="24"/>
              </w:rPr>
            </w:pPr>
            <w:r>
              <w:rPr>
                <w:rFonts w:hint="eastAsia" w:ascii="方正黑体简体" w:hAnsi="黑体" w:eastAsia="方正黑体简体"/>
                <w:b/>
                <w:sz w:val="24"/>
                <w:szCs w:val="24"/>
              </w:rPr>
              <w:t>维持</w:t>
            </w:r>
          </w:p>
        </w:tc>
        <w:tc>
          <w:tcPr>
            <w:tcW w:w="604" w:type="dxa"/>
            <w:vMerge w:val="restart"/>
            <w:shd w:val="clear" w:color="auto" w:fill="auto"/>
            <w:tcMar>
              <w:left w:w="108" w:type="dxa"/>
              <w:right w:w="108" w:type="dxa"/>
            </w:tcMar>
            <w:vAlign w:val="center"/>
          </w:tcPr>
          <w:p>
            <w:pPr>
              <w:widowControl/>
              <w:shd w:val="clear"/>
              <w:spacing w:line="320" w:lineRule="exact"/>
              <w:ind w:left="-43" w:leftChars="-21" w:right="-132" w:rightChars="-63" w:hanging="1"/>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4" w:type="dxa"/>
            <w:vMerge w:val="restart"/>
            <w:shd w:val="clear" w:color="auto" w:fill="auto"/>
            <w:tcMar>
              <w:left w:w="108" w:type="dxa"/>
              <w:right w:w="108" w:type="dxa"/>
            </w:tcMar>
            <w:vAlign w:val="center"/>
          </w:tcPr>
          <w:p>
            <w:pPr>
              <w:widowControl/>
              <w:shd w:val="clear"/>
              <w:spacing w:line="320" w:lineRule="exact"/>
              <w:ind w:left="-82" w:leftChars="-39" w:right="-97" w:rightChars="-46"/>
              <w:jc w:val="center"/>
              <w:rPr>
                <w:rFonts w:ascii="方正黑体简体" w:hAnsi="黑体" w:eastAsia="方正黑体简体"/>
                <w:b/>
                <w:sz w:val="24"/>
                <w:szCs w:val="24"/>
              </w:rPr>
            </w:pPr>
            <w:r>
              <w:rPr>
                <w:rFonts w:hint="eastAsia" w:ascii="方正黑体简体" w:hAnsi="黑体" w:eastAsia="方正黑体简体"/>
                <w:b/>
                <w:sz w:val="24"/>
                <w:szCs w:val="24"/>
              </w:rPr>
              <w:t>其他结果</w:t>
            </w:r>
          </w:p>
        </w:tc>
        <w:tc>
          <w:tcPr>
            <w:tcW w:w="604" w:type="dxa"/>
            <w:vMerge w:val="restart"/>
            <w:shd w:val="clear" w:color="auto" w:fill="auto"/>
            <w:tcMar>
              <w:left w:w="108" w:type="dxa"/>
              <w:right w:w="108" w:type="dxa"/>
            </w:tcMar>
            <w:vAlign w:val="center"/>
          </w:tcPr>
          <w:p>
            <w:pPr>
              <w:widowControl/>
              <w:shd w:val="clear"/>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hd w:val="clear"/>
              <w:spacing w:line="320" w:lineRule="exact"/>
              <w:ind w:left="-118" w:leftChars="-56" w:right="-118" w:rightChars="-56"/>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479" w:type="dxa"/>
            <w:vMerge w:val="restart"/>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w:t>
            </w:r>
          </w:p>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计</w:t>
            </w:r>
          </w:p>
        </w:tc>
        <w:tc>
          <w:tcPr>
            <w:tcW w:w="2943"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未经复议直接起诉</w:t>
            </w:r>
          </w:p>
        </w:tc>
        <w:tc>
          <w:tcPr>
            <w:tcW w:w="2979" w:type="dxa"/>
            <w:gridSpan w:val="5"/>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bookmarkStart w:id="9" w:name="_Hlk67039688"/>
            <w:r>
              <w:rPr>
                <w:rFonts w:hint="eastAsia" w:ascii="方正黑体简体" w:hAnsi="黑体" w:eastAsia="方正黑体简体"/>
                <w:b/>
                <w:sz w:val="24"/>
                <w:szCs w:val="24"/>
              </w:rPr>
              <w:t>复议后起诉</w:t>
            </w:r>
            <w:bookmarkEnd w:id="9"/>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06" w:hRule="atLeast"/>
          <w:jc w:val="center"/>
        </w:trPr>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604"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479" w:type="dxa"/>
            <w:vMerge w:val="continue"/>
            <w:shd w:val="clear" w:color="auto" w:fill="auto"/>
            <w:tcMar>
              <w:left w:w="108" w:type="dxa"/>
              <w:right w:w="108" w:type="dxa"/>
            </w:tcMar>
            <w:vAlign w:val="center"/>
          </w:tcPr>
          <w:p>
            <w:pPr>
              <w:shd w:val="clear"/>
              <w:spacing w:line="320" w:lineRule="exact"/>
              <w:rPr>
                <w:rFonts w:ascii="方正黑体简体" w:hAnsi="黑体" w:eastAsia="方正黑体简体"/>
                <w:b/>
                <w:sz w:val="24"/>
                <w:szCs w:val="24"/>
              </w:rPr>
            </w:pPr>
          </w:p>
        </w:tc>
        <w:tc>
          <w:tcPr>
            <w:tcW w:w="550" w:type="dxa"/>
            <w:shd w:val="clear" w:color="auto" w:fill="auto"/>
            <w:tcMar>
              <w:left w:w="108" w:type="dxa"/>
              <w:right w:w="108" w:type="dxa"/>
            </w:tcMar>
            <w:vAlign w:val="center"/>
          </w:tcPr>
          <w:p>
            <w:pPr>
              <w:widowControl/>
              <w:shd w:val="clear"/>
              <w:spacing w:line="320" w:lineRule="exact"/>
              <w:ind w:left="-105" w:leftChars="-50" w:right="-126" w:rightChars="-60"/>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hd w:val="clear"/>
              <w:spacing w:line="320" w:lineRule="exact"/>
              <w:ind w:left="-86" w:leftChars="-41" w:right="-88" w:rightChars="-42"/>
              <w:jc w:val="center"/>
              <w:rPr>
                <w:rFonts w:ascii="方正黑体简体" w:hAnsi="黑体" w:eastAsia="方正黑体简体"/>
                <w:b/>
                <w:sz w:val="24"/>
                <w:szCs w:val="24"/>
              </w:rPr>
            </w:pPr>
            <w:r>
              <w:rPr>
                <w:rFonts w:hint="eastAsia" w:ascii="方正黑体简体" w:hAnsi="黑体" w:eastAsia="方正黑体简体"/>
                <w:b/>
                <w:sz w:val="24"/>
                <w:szCs w:val="24"/>
              </w:rPr>
              <w:t>结果纠正</w:t>
            </w:r>
          </w:p>
        </w:tc>
        <w:tc>
          <w:tcPr>
            <w:tcW w:w="605" w:type="dxa"/>
            <w:shd w:val="clear" w:color="auto" w:fill="auto"/>
            <w:tcMar>
              <w:left w:w="108" w:type="dxa"/>
              <w:right w:w="108" w:type="dxa"/>
            </w:tcMar>
            <w:vAlign w:val="center"/>
          </w:tcPr>
          <w:p>
            <w:pPr>
              <w:widowControl/>
              <w:shd w:val="clear"/>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hd w:val="clear"/>
              <w:spacing w:line="320" w:lineRule="exact"/>
              <w:ind w:left="-126" w:leftChars="-60" w:right="-136" w:rightChars="-65"/>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5" w:type="dxa"/>
            <w:shd w:val="clear" w:color="auto" w:fill="auto"/>
            <w:tcMar>
              <w:left w:w="108" w:type="dxa"/>
              <w:right w:w="108" w:type="dxa"/>
            </w:tcMar>
            <w:vAlign w:val="center"/>
          </w:tcPr>
          <w:p>
            <w:pPr>
              <w:widowControl/>
              <w:shd w:val="clear"/>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尚未</w:t>
            </w:r>
          </w:p>
          <w:p>
            <w:pPr>
              <w:widowControl/>
              <w:shd w:val="clear"/>
              <w:spacing w:line="320" w:lineRule="exact"/>
              <w:ind w:left="-164" w:leftChars="-78" w:right="-153" w:rightChars="-73"/>
              <w:jc w:val="center"/>
              <w:rPr>
                <w:rFonts w:ascii="方正黑体简体" w:hAnsi="黑体" w:eastAsia="方正黑体简体"/>
                <w:b/>
                <w:sz w:val="24"/>
                <w:szCs w:val="24"/>
              </w:rPr>
            </w:pPr>
            <w:r>
              <w:rPr>
                <w:rFonts w:hint="eastAsia" w:ascii="方正黑体简体" w:hAnsi="黑体" w:eastAsia="方正黑体简体"/>
                <w:b/>
                <w:sz w:val="24"/>
                <w:szCs w:val="24"/>
              </w:rPr>
              <w:t>审结</w:t>
            </w:r>
          </w:p>
        </w:tc>
        <w:tc>
          <w:tcPr>
            <w:tcW w:w="578" w:type="dxa"/>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c>
          <w:tcPr>
            <w:tcW w:w="605" w:type="dxa"/>
            <w:shd w:val="clear" w:color="auto" w:fill="auto"/>
            <w:tcMar>
              <w:left w:w="108" w:type="dxa"/>
              <w:right w:w="108" w:type="dxa"/>
            </w:tcMar>
            <w:vAlign w:val="center"/>
          </w:tcPr>
          <w:p>
            <w:pPr>
              <w:widowControl/>
              <w:shd w:val="clear"/>
              <w:spacing w:line="320" w:lineRule="exact"/>
              <w:ind w:left="-99" w:leftChars="-47" w:right="-78" w:rightChars="-37"/>
              <w:jc w:val="center"/>
              <w:rPr>
                <w:rFonts w:ascii="方正黑体简体" w:hAnsi="黑体" w:eastAsia="方正黑体简体"/>
                <w:b/>
                <w:sz w:val="24"/>
                <w:szCs w:val="24"/>
              </w:rPr>
            </w:pPr>
            <w:r>
              <w:rPr>
                <w:rFonts w:hint="eastAsia" w:ascii="方正黑体简体" w:hAnsi="黑体" w:eastAsia="方正黑体简体"/>
                <w:b/>
                <w:sz w:val="24"/>
                <w:szCs w:val="24"/>
              </w:rPr>
              <w:t>结果维持</w:t>
            </w:r>
          </w:p>
        </w:tc>
        <w:tc>
          <w:tcPr>
            <w:tcW w:w="605" w:type="dxa"/>
            <w:shd w:val="clear" w:color="auto" w:fill="auto"/>
            <w:tcMar>
              <w:left w:w="108" w:type="dxa"/>
              <w:right w:w="108" w:type="dxa"/>
            </w:tcMar>
            <w:vAlign w:val="center"/>
          </w:tcPr>
          <w:p>
            <w:pPr>
              <w:widowControl/>
              <w:shd w:val="clear"/>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结果</w:t>
            </w:r>
          </w:p>
          <w:p>
            <w:pPr>
              <w:widowControl/>
              <w:shd w:val="clear"/>
              <w:spacing w:line="320" w:lineRule="exact"/>
              <w:ind w:left="-136" w:leftChars="-65" w:right="-124" w:rightChars="-59"/>
              <w:jc w:val="center"/>
              <w:rPr>
                <w:rFonts w:ascii="方正黑体简体" w:hAnsi="黑体" w:eastAsia="方正黑体简体"/>
                <w:b/>
                <w:sz w:val="24"/>
                <w:szCs w:val="24"/>
              </w:rPr>
            </w:pPr>
            <w:r>
              <w:rPr>
                <w:rFonts w:hint="eastAsia" w:ascii="方正黑体简体" w:hAnsi="黑体" w:eastAsia="方正黑体简体"/>
                <w:b/>
                <w:sz w:val="24"/>
                <w:szCs w:val="24"/>
              </w:rPr>
              <w:t>纠正</w:t>
            </w:r>
          </w:p>
        </w:tc>
        <w:tc>
          <w:tcPr>
            <w:tcW w:w="605" w:type="dxa"/>
            <w:shd w:val="clear" w:color="auto" w:fill="auto"/>
            <w:tcMar>
              <w:left w:w="108" w:type="dxa"/>
              <w:right w:w="108" w:type="dxa"/>
            </w:tcMar>
            <w:vAlign w:val="center"/>
          </w:tcPr>
          <w:p>
            <w:pPr>
              <w:widowControl/>
              <w:shd w:val="clear"/>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其他</w:t>
            </w:r>
          </w:p>
          <w:p>
            <w:pPr>
              <w:widowControl/>
              <w:shd w:val="clear"/>
              <w:spacing w:line="320" w:lineRule="exact"/>
              <w:ind w:left="-173" w:leftChars="-83" w:right="-134" w:rightChars="-64" w:hanging="1"/>
              <w:jc w:val="center"/>
              <w:rPr>
                <w:rFonts w:ascii="方正黑体简体" w:hAnsi="黑体" w:eastAsia="方正黑体简体"/>
                <w:b/>
                <w:sz w:val="24"/>
                <w:szCs w:val="24"/>
              </w:rPr>
            </w:pPr>
            <w:r>
              <w:rPr>
                <w:rFonts w:hint="eastAsia" w:ascii="方正黑体简体" w:hAnsi="黑体" w:eastAsia="方正黑体简体"/>
                <w:b/>
                <w:sz w:val="24"/>
                <w:szCs w:val="24"/>
              </w:rPr>
              <w:t>结果</w:t>
            </w:r>
          </w:p>
        </w:tc>
        <w:tc>
          <w:tcPr>
            <w:tcW w:w="606" w:type="dxa"/>
            <w:shd w:val="clear" w:color="auto" w:fill="auto"/>
            <w:tcMar>
              <w:left w:w="108" w:type="dxa"/>
              <w:right w:w="108" w:type="dxa"/>
            </w:tcMar>
            <w:vAlign w:val="center"/>
          </w:tcPr>
          <w:p>
            <w:pPr>
              <w:widowControl/>
              <w:shd w:val="clear"/>
              <w:spacing w:line="320" w:lineRule="exact"/>
              <w:ind w:left="-67" w:leftChars="-33" w:right="-105" w:rightChars="-50" w:hanging="2" w:hangingChars="1"/>
              <w:jc w:val="center"/>
              <w:rPr>
                <w:rFonts w:ascii="方正黑体简体" w:hAnsi="黑体" w:eastAsia="方正黑体简体"/>
                <w:b/>
                <w:sz w:val="24"/>
                <w:szCs w:val="24"/>
              </w:rPr>
            </w:pPr>
            <w:r>
              <w:rPr>
                <w:rFonts w:hint="eastAsia" w:ascii="方正黑体简体" w:hAnsi="黑体" w:eastAsia="方正黑体简体"/>
                <w:b/>
                <w:sz w:val="24"/>
                <w:szCs w:val="24"/>
              </w:rPr>
              <w:t>尚未审结</w:t>
            </w:r>
          </w:p>
        </w:tc>
        <w:tc>
          <w:tcPr>
            <w:tcW w:w="558" w:type="dxa"/>
            <w:shd w:val="clear" w:color="auto" w:fill="auto"/>
            <w:tcMar>
              <w:left w:w="108" w:type="dxa"/>
              <w:right w:w="108" w:type="dxa"/>
            </w:tcMar>
            <w:vAlign w:val="center"/>
          </w:tcPr>
          <w:p>
            <w:pPr>
              <w:widowControl/>
              <w:shd w:val="clear"/>
              <w:spacing w:line="320" w:lineRule="exact"/>
              <w:jc w:val="center"/>
              <w:rPr>
                <w:rFonts w:ascii="方正黑体简体" w:hAnsi="黑体" w:eastAsia="方正黑体简体"/>
                <w:b/>
                <w:sz w:val="24"/>
                <w:szCs w:val="24"/>
              </w:rPr>
            </w:pPr>
            <w:r>
              <w:rPr>
                <w:rFonts w:hint="eastAsia" w:ascii="方正黑体简体" w:hAnsi="黑体" w:eastAsia="方正黑体简体"/>
                <w:b/>
                <w:sz w:val="24"/>
                <w:szCs w:val="24"/>
              </w:rPr>
              <w:t>总计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jc w:val="center"/>
        </w:trPr>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4"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479"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0"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78"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5"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606"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c>
          <w:tcPr>
            <w:tcW w:w="558" w:type="dxa"/>
            <w:shd w:val="clear" w:color="auto" w:fill="auto"/>
            <w:tcMar>
              <w:left w:w="108" w:type="dxa"/>
              <w:right w:w="108" w:type="dxa"/>
            </w:tcMar>
            <w:vAlign w:val="center"/>
          </w:tcPr>
          <w:p>
            <w:pPr>
              <w:widowControl/>
              <w:shd w:val="clear"/>
              <w:spacing w:after="180" w:line="320" w:lineRule="exact"/>
              <w:jc w:val="center"/>
              <w:rPr>
                <w:rFonts w:hint="eastAsia" w:ascii="方正黑体简体" w:eastAsia="方正黑体简体"/>
                <w:b/>
                <w:sz w:val="24"/>
                <w:szCs w:val="24"/>
                <w:lang w:val="en-US" w:eastAsia="zh-CN"/>
              </w:rPr>
            </w:pPr>
            <w:r>
              <w:rPr>
                <w:rFonts w:hint="eastAsia" w:ascii="方正黑体简体" w:eastAsia="方正黑体简体"/>
                <w:b/>
                <w:sz w:val="24"/>
                <w:szCs w:val="24"/>
                <w:lang w:val="en-US" w:eastAsia="zh-CN"/>
              </w:rPr>
              <w:t>0</w:t>
            </w:r>
          </w:p>
        </w:tc>
      </w:tr>
    </w:tbl>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sz w:val="32"/>
          <w:szCs w:val="32"/>
        </w:rPr>
      </w:pPr>
      <w:r>
        <w:rPr>
          <w:rFonts w:hint="eastAsia" w:ascii="黑体" w:hAnsi="黑体" w:eastAsia="黑体" w:cs="黑体"/>
          <w:b/>
          <w:sz w:val="32"/>
          <w:szCs w:val="32"/>
        </w:rPr>
        <w:t>五、存在的主要问题及改进情况</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Times New Roman" w:hAnsi="Times New Roman" w:eastAsia="仿宋_GB2312" w:cs="Times New Roman"/>
          <w:b/>
          <w:bCs/>
          <w:i w:val="0"/>
          <w:caps w:val="0"/>
          <w:color w:val="000000"/>
          <w:spacing w:val="0"/>
          <w:sz w:val="32"/>
          <w:szCs w:val="32"/>
          <w:shd w:val="clear" w:fill="FFFFFF"/>
          <w:lang w:val="en-US" w:eastAsia="zh-CN"/>
        </w:rPr>
        <w:t>2023</w:t>
      </w:r>
      <w:r>
        <w:rPr>
          <w:rFonts w:hint="eastAsia" w:ascii="仿宋_GB2312" w:hAnsi="微软雅黑" w:eastAsia="仿宋_GB2312" w:cs="仿宋_GB2312"/>
          <w:b/>
          <w:bCs/>
          <w:i w:val="0"/>
          <w:caps w:val="0"/>
          <w:color w:val="000000"/>
          <w:spacing w:val="0"/>
          <w:sz w:val="32"/>
          <w:szCs w:val="32"/>
          <w:shd w:val="clear" w:fill="FFFFFF"/>
          <w:lang w:val="en-US" w:eastAsia="zh-CN"/>
        </w:rPr>
        <w:t>年，南阳镇认真贯彻落实年度省、市、区政务公开工作要点，但仍然存在一些问题与不足。</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一、还需加大信息公开力度。进一步完善信息公开制度，强化信息公开的责任意识、大局意识、服务意识，确保政务信息公开工作及时、准确。</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二、还需加强培训和工作对接。坚持定期召开培训会，举办培训班，对该镇各部门的政务公开工作者进行业务培训，提高全镇政务公开工作人员的专业能力。</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三、还需大力开展宣传教育活动，增强群众对政务信息公开工作的认知度。</w:t>
      </w:r>
    </w:p>
    <w:p>
      <w:pPr>
        <w:keepNext w:val="0"/>
        <w:keepLines w:val="0"/>
        <w:pageBreakBefore w:val="0"/>
        <w:shd w:val="clear"/>
        <w:kinsoku/>
        <w:wordWrap/>
        <w:overflowPunct/>
        <w:topLinePunct w:val="0"/>
        <w:autoSpaceDE/>
        <w:autoSpaceDN/>
        <w:bidi w:val="0"/>
        <w:adjustRightInd/>
        <w:snapToGrid/>
        <w:spacing w:line="590" w:lineRule="exact"/>
        <w:ind w:right="-105" w:rightChars="-50" w:firstLine="643" w:firstLineChars="200"/>
        <w:textAlignment w:val="auto"/>
        <w:rPr>
          <w:rFonts w:hint="eastAsia" w:ascii="黑体" w:hAnsi="黑体" w:eastAsia="黑体" w:cs="黑体"/>
          <w:b/>
          <w:bCs w:val="0"/>
          <w:sz w:val="32"/>
          <w:szCs w:val="32"/>
        </w:rPr>
      </w:pPr>
      <w:r>
        <w:rPr>
          <w:rFonts w:hint="eastAsia" w:ascii="黑体" w:hAnsi="黑体" w:eastAsia="黑体" w:cs="黑体"/>
          <w:b/>
          <w:bCs w:val="0"/>
          <w:sz w:val="32"/>
          <w:szCs w:val="32"/>
        </w:rPr>
        <w:t>六、其他需要报告的事项</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(一)依据《政府信息公开信息处理费管理办法》收取信息处理费的情况:无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(二)落实上级年度政务公开工作要点情况:自足自身职能，结合工作实际，有效落实政务公开工作任务。</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(三)人大代表建议和政协提案办理结果公开情况:</w:t>
      </w:r>
      <w:r>
        <w:rPr>
          <w:rFonts w:hint="eastAsia" w:ascii="Times New Roman" w:hAnsi="Times New Roman" w:eastAsia="仿宋_GB2312" w:cs="Times New Roman"/>
          <w:b/>
          <w:bCs/>
          <w:i w:val="0"/>
          <w:caps w:val="0"/>
          <w:color w:val="000000"/>
          <w:spacing w:val="0"/>
          <w:sz w:val="32"/>
          <w:szCs w:val="32"/>
          <w:shd w:val="clear" w:fill="FFFFFF"/>
          <w:lang w:val="en-US" w:eastAsia="zh-CN"/>
        </w:rPr>
        <w:t>2023</w:t>
      </w:r>
      <w:r>
        <w:rPr>
          <w:rFonts w:hint="eastAsia" w:ascii="仿宋_GB2312" w:hAnsi="微软雅黑" w:eastAsia="仿宋_GB2312" w:cs="仿宋_GB2312"/>
          <w:b/>
          <w:bCs/>
          <w:i w:val="0"/>
          <w:caps w:val="0"/>
          <w:color w:val="000000"/>
          <w:spacing w:val="0"/>
          <w:sz w:val="32"/>
          <w:szCs w:val="32"/>
          <w:shd w:val="clear" w:fill="FFFFFF"/>
          <w:lang w:val="en-US" w:eastAsia="zh-CN"/>
        </w:rPr>
        <w:t>年，我单位收到人大代表建议</w:t>
      </w:r>
      <w:r>
        <w:rPr>
          <w:rFonts w:hint="eastAsia" w:ascii="Times New Roman" w:hAnsi="Times New Roman" w:eastAsia="仿宋_GB2312" w:cs="Times New Roman"/>
          <w:b/>
          <w:bCs/>
          <w:i w:val="0"/>
          <w:caps w:val="0"/>
          <w:color w:val="000000"/>
          <w:spacing w:val="0"/>
          <w:sz w:val="32"/>
          <w:szCs w:val="32"/>
          <w:shd w:val="clear" w:fill="FFFFFF"/>
          <w:lang w:val="en-US" w:eastAsia="zh-CN"/>
        </w:rPr>
        <w:t>0</w:t>
      </w:r>
      <w:r>
        <w:rPr>
          <w:rFonts w:hint="eastAsia" w:ascii="仿宋_GB2312" w:hAnsi="微软雅黑" w:eastAsia="仿宋_GB2312" w:cs="仿宋_GB2312"/>
          <w:b/>
          <w:bCs/>
          <w:i w:val="0"/>
          <w:caps w:val="0"/>
          <w:color w:val="000000"/>
          <w:spacing w:val="0"/>
          <w:sz w:val="32"/>
          <w:szCs w:val="32"/>
          <w:shd w:val="clear" w:fill="FFFFFF"/>
          <w:lang w:val="en-US" w:eastAsia="zh-CN"/>
        </w:rPr>
        <w:t>件。</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(四)年度政务公开工作创新情况:无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(五)政府信息公开工作年度报告数据统计需要说明的事项:无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(六)需要报告的其他事项:无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both"/>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仿宋_GB2312" w:hAnsi="微软雅黑" w:eastAsia="仿宋_GB2312" w:cs="仿宋_GB2312"/>
          <w:b/>
          <w:bCs/>
          <w:i w:val="0"/>
          <w:caps w:val="0"/>
          <w:color w:val="000000"/>
          <w:spacing w:val="0"/>
          <w:sz w:val="32"/>
          <w:szCs w:val="32"/>
          <w:shd w:val="clear" w:fill="FFFFFF"/>
          <w:lang w:val="en-US" w:eastAsia="zh-CN"/>
        </w:rPr>
        <w:t>(七)其他有关文件专门要求通过政府信息公开工作年度报告予以报告的事项:无</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center"/>
        <w:textAlignment w:val="auto"/>
        <w:rPr>
          <w:rFonts w:hint="eastAsia" w:ascii="Times New Roman" w:hAnsi="Times New Roman" w:eastAsia="仿宋_GB2312" w:cs="Times New Roman"/>
          <w:b/>
          <w:bCs/>
          <w:i w:val="0"/>
          <w:caps w:val="0"/>
          <w:color w:val="000000"/>
          <w:spacing w:val="0"/>
          <w:sz w:val="32"/>
          <w:szCs w:val="32"/>
          <w:shd w:val="clear" w:fill="FFFFFF"/>
          <w:lang w:val="en-US" w:eastAsia="zh-CN"/>
        </w:rPr>
      </w:pPr>
      <w:r>
        <w:rPr>
          <w:rFonts w:hint="eastAsia" w:ascii="Times New Roman" w:hAnsi="Times New Roman" w:eastAsia="仿宋_GB2312" w:cs="Times New Roman"/>
          <w:b/>
          <w:bCs/>
          <w:i w:val="0"/>
          <w:caps w:val="0"/>
          <w:color w:val="000000"/>
          <w:spacing w:val="0"/>
          <w:sz w:val="32"/>
          <w:szCs w:val="32"/>
          <w:shd w:val="clear" w:fill="FFFFFF"/>
          <w:lang w:val="en-US" w:eastAsia="zh-CN"/>
        </w:rPr>
        <w:t xml:space="preserve">            </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kinsoku/>
        <w:wordWrap/>
        <w:overflowPunct/>
        <w:topLinePunct w:val="0"/>
        <w:autoSpaceDE/>
        <w:autoSpaceDN/>
        <w:bidi w:val="0"/>
        <w:adjustRightInd/>
        <w:snapToGrid/>
        <w:spacing w:before="0" w:beforeAutospacing="0" w:after="0" w:afterAutospacing="0" w:line="555" w:lineRule="atLeast"/>
        <w:ind w:right="0" w:rightChars="0" w:firstLine="643" w:firstLineChars="200"/>
        <w:jc w:val="center"/>
        <w:textAlignment w:val="auto"/>
        <w:rPr>
          <w:rFonts w:hint="eastAsia" w:ascii="仿宋_GB2312" w:hAnsi="微软雅黑" w:eastAsia="仿宋_GB2312" w:cs="仿宋_GB2312"/>
          <w:b/>
          <w:bCs/>
          <w:i w:val="0"/>
          <w:caps w:val="0"/>
          <w:color w:val="000000"/>
          <w:spacing w:val="0"/>
          <w:sz w:val="32"/>
          <w:szCs w:val="32"/>
          <w:shd w:val="clear" w:fill="FFFFFF"/>
          <w:lang w:val="en-US" w:eastAsia="zh-CN"/>
        </w:rPr>
      </w:pPr>
      <w:r>
        <w:rPr>
          <w:rFonts w:hint="eastAsia" w:ascii="Times New Roman" w:hAnsi="Times New Roman" w:eastAsia="仿宋_GB2312" w:cs="Times New Roman"/>
          <w:b/>
          <w:bCs/>
          <w:i w:val="0"/>
          <w:caps w:val="0"/>
          <w:color w:val="000000"/>
          <w:spacing w:val="0"/>
          <w:sz w:val="32"/>
          <w:szCs w:val="32"/>
          <w:shd w:val="clear" w:fill="FFFFFF"/>
          <w:lang w:val="en-US" w:eastAsia="zh-CN"/>
        </w:rPr>
        <w:t xml:space="preserve">           2024</w:t>
      </w:r>
      <w:r>
        <w:rPr>
          <w:rFonts w:hint="eastAsia" w:ascii="仿宋_GB2312" w:hAnsi="微软雅黑" w:eastAsia="仿宋_GB2312" w:cs="仿宋_GB2312"/>
          <w:b/>
          <w:bCs/>
          <w:i w:val="0"/>
          <w:caps w:val="0"/>
          <w:color w:val="000000"/>
          <w:spacing w:val="0"/>
          <w:sz w:val="32"/>
          <w:szCs w:val="32"/>
          <w:shd w:val="clear" w:fill="FFFFFF"/>
          <w:lang w:val="en-US" w:eastAsia="zh-CN"/>
        </w:rPr>
        <w:t>年</w:t>
      </w:r>
      <w:r>
        <w:rPr>
          <w:rFonts w:hint="eastAsia" w:ascii="Times New Roman" w:hAnsi="Times New Roman" w:eastAsia="仿宋_GB2312" w:cs="Times New Roman"/>
          <w:b/>
          <w:bCs/>
          <w:i w:val="0"/>
          <w:caps w:val="0"/>
          <w:color w:val="000000"/>
          <w:spacing w:val="0"/>
          <w:sz w:val="32"/>
          <w:szCs w:val="32"/>
          <w:shd w:val="clear" w:fill="FFFFFF"/>
          <w:lang w:val="en-US" w:eastAsia="zh-CN"/>
        </w:rPr>
        <w:t>1月25</w:t>
      </w:r>
      <w:r>
        <w:rPr>
          <w:rFonts w:hint="eastAsia" w:ascii="仿宋_GB2312" w:hAnsi="微软雅黑" w:eastAsia="仿宋_GB2312" w:cs="仿宋_GB2312"/>
          <w:b/>
          <w:bCs/>
          <w:i w:val="0"/>
          <w:caps w:val="0"/>
          <w:color w:val="000000"/>
          <w:spacing w:val="0"/>
          <w:sz w:val="32"/>
          <w:szCs w:val="32"/>
          <w:shd w:val="clear" w:fill="FFFFFF"/>
          <w:lang w:val="en-US" w:eastAsia="zh-CN"/>
        </w:rPr>
        <w:t>日</w:t>
      </w:r>
    </w:p>
    <w:sectPr>
      <w:pgSz w:w="11906" w:h="16838"/>
      <w:pgMar w:top="1440" w:right="1800" w:bottom="1440" w:left="1800" w:header="851" w:footer="992" w:gutter="0"/>
      <w:pgBorders>
        <w:top w:val="none" w:sz="0" w:space="0"/>
        <w:left w:val="none" w:sz="0" w:space="0"/>
        <w:bottom w:val="none" w:sz="0" w:space="0"/>
        <w:right w:val="none" w:sz="0" w:space="0"/>
      </w:pgBorders>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FF7E25AC-66D9-4AED-A621-CE039828DA11}"/>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embedRegular r:id="rId2" w:fontKey="{427257D2-D2EA-4881-AC10-C843D67DFD7F}"/>
  </w:font>
  <w:font w:name="方正小标宋简体">
    <w:panose1 w:val="02000000000000000000"/>
    <w:charset w:val="86"/>
    <w:family w:val="auto"/>
    <w:pitch w:val="default"/>
    <w:sig w:usb0="00000001" w:usb1="080E0000" w:usb2="00000000" w:usb3="00000000" w:csb0="00040000" w:csb1="00000000"/>
    <w:embedRegular r:id="rId3" w:fontKey="{C2E05D7F-BCC9-425E-89E4-8C4727955764}"/>
  </w:font>
  <w:font w:name="仿宋_GB2312">
    <w:altName w:val="仿宋"/>
    <w:panose1 w:val="02010609030101010101"/>
    <w:charset w:val="86"/>
    <w:family w:val="auto"/>
    <w:pitch w:val="default"/>
    <w:sig w:usb0="00000000" w:usb1="00000000" w:usb2="00000000" w:usb3="00000000" w:csb0="00040000" w:csb1="00000000"/>
    <w:embedRegular r:id="rId4" w:fontKey="{B26B82FB-2940-471F-9EED-63519CFFD505}"/>
  </w:font>
  <w:font w:name="微软雅黑">
    <w:panose1 w:val="020B0503020204020204"/>
    <w:charset w:val="86"/>
    <w:family w:val="auto"/>
    <w:pitch w:val="default"/>
    <w:sig w:usb0="80000287" w:usb1="2ACF3C50" w:usb2="00000016" w:usb3="00000000" w:csb0="0004001F" w:csb1="00000000"/>
    <w:embedRegular r:id="rId5" w:fontKey="{AFA2E5AE-2B0C-405D-A355-9C76ACF69C64}"/>
  </w:font>
  <w:font w:name="楷体_GB2312">
    <w:altName w:val="楷体"/>
    <w:panose1 w:val="02010609030101010101"/>
    <w:charset w:val="86"/>
    <w:family w:val="auto"/>
    <w:pitch w:val="default"/>
    <w:sig w:usb0="00000000" w:usb1="00000000" w:usb2="00000000" w:usb3="00000000" w:csb0="00040000" w:csb1="00000000"/>
    <w:embedRegular r:id="rId6" w:fontKey="{3460D0F1-5D76-47E5-ABB8-33DFB1387734}"/>
  </w:font>
  <w:font w:name="方正黑体简体">
    <w:panose1 w:val="03000509000000000000"/>
    <w:charset w:val="86"/>
    <w:family w:val="auto"/>
    <w:pitch w:val="default"/>
    <w:sig w:usb0="00000001" w:usb1="080E0000" w:usb2="00000000" w:usb3="00000000" w:csb0="00040000" w:csb1="00000000"/>
    <w:embedRegular r:id="rId7" w:fontKey="{843393D1-E7E3-45A5-AF51-0760334713AC}"/>
  </w:font>
  <w:font w:name="方正仿宋简体">
    <w:panose1 w:val="03000509000000000000"/>
    <w:charset w:val="86"/>
    <w:family w:val="auto"/>
    <w:pitch w:val="default"/>
    <w:sig w:usb0="00000001" w:usb1="080E0000" w:usb2="00000000" w:usb3="00000000" w:csb0="00040000" w:csb1="00000000"/>
    <w:embedRegular r:id="rId8" w:fontKey="{9A1708F6-19B6-41A8-ABE5-0DCEF6FDAA4B}"/>
  </w:font>
  <w:font w:name="楷体">
    <w:panose1 w:val="02010609060101010101"/>
    <w:charset w:val="86"/>
    <w:family w:val="modern"/>
    <w:pitch w:val="default"/>
    <w:sig w:usb0="800002BF" w:usb1="38CF7CFA" w:usb2="00000016" w:usb3="00000000" w:csb0="00040001" w:csb1="00000000"/>
    <w:embedRegular r:id="rId9" w:fontKey="{D8449B41-EFE3-4AE1-B38D-91AC01894F44}"/>
  </w:font>
  <w:font w:name="仿宋">
    <w:panose1 w:val="02010609060101010101"/>
    <w:charset w:val="86"/>
    <w:family w:val="auto"/>
    <w:pitch w:val="default"/>
    <w:sig w:usb0="800002BF" w:usb1="38CF7CFA" w:usb2="00000016" w:usb3="00000000" w:csb0="00040001" w:csb1="00000000"/>
  </w:font>
  <w:font w:name="方正公文小标宋">
    <w:panose1 w:val="02000500000000000000"/>
    <w:charset w:val="86"/>
    <w:family w:val="auto"/>
    <w:pitch w:val="default"/>
    <w:sig w:usb0="A00002BF" w:usb1="38CF7CFA" w:usb2="00000016" w:usb3="00000000" w:csb0="00040001" w:csb1="00000000"/>
    <w:embedRegular r:id="rId10" w:fontKey="{6F1B78DF-3D82-45B2-A38C-3102C83A800D}"/>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79040EC"/>
    <w:multiLevelType w:val="singleLevel"/>
    <w:tmpl w:val="B79040EC"/>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QyMzU1ZDAzZWQ5MGFmMjdmYTdiZGE0YWJlOTRmMWQifQ=="/>
  </w:docVars>
  <w:rsids>
    <w:rsidRoot w:val="00000000"/>
    <w:rsid w:val="00312BAF"/>
    <w:rsid w:val="00907B94"/>
    <w:rsid w:val="012F0F59"/>
    <w:rsid w:val="014E6667"/>
    <w:rsid w:val="01980A48"/>
    <w:rsid w:val="026B32B8"/>
    <w:rsid w:val="04BB0735"/>
    <w:rsid w:val="04CF1850"/>
    <w:rsid w:val="094674E0"/>
    <w:rsid w:val="09ED0A92"/>
    <w:rsid w:val="0A297BA1"/>
    <w:rsid w:val="0B5D0BB4"/>
    <w:rsid w:val="0B8207ED"/>
    <w:rsid w:val="0C520900"/>
    <w:rsid w:val="0CD45142"/>
    <w:rsid w:val="0F6E4088"/>
    <w:rsid w:val="14891FC8"/>
    <w:rsid w:val="15353A4B"/>
    <w:rsid w:val="16BB517E"/>
    <w:rsid w:val="1AAE391A"/>
    <w:rsid w:val="1B08665A"/>
    <w:rsid w:val="1F8D1577"/>
    <w:rsid w:val="20D7156C"/>
    <w:rsid w:val="21534FE3"/>
    <w:rsid w:val="22B131A4"/>
    <w:rsid w:val="245F7074"/>
    <w:rsid w:val="24CB7509"/>
    <w:rsid w:val="25247CBA"/>
    <w:rsid w:val="2AC125FA"/>
    <w:rsid w:val="2F566E0F"/>
    <w:rsid w:val="306C3298"/>
    <w:rsid w:val="30D71296"/>
    <w:rsid w:val="30DD557F"/>
    <w:rsid w:val="33251860"/>
    <w:rsid w:val="35AB20DF"/>
    <w:rsid w:val="3C886331"/>
    <w:rsid w:val="3F4E2B95"/>
    <w:rsid w:val="44A504C0"/>
    <w:rsid w:val="497543BA"/>
    <w:rsid w:val="4AE26025"/>
    <w:rsid w:val="4B3B57AE"/>
    <w:rsid w:val="51DC3981"/>
    <w:rsid w:val="521F4392"/>
    <w:rsid w:val="5253334F"/>
    <w:rsid w:val="539B7C68"/>
    <w:rsid w:val="55ED0CBB"/>
    <w:rsid w:val="58D32600"/>
    <w:rsid w:val="5E860B9D"/>
    <w:rsid w:val="5ECF2AA2"/>
    <w:rsid w:val="66A82DDC"/>
    <w:rsid w:val="6F1563F8"/>
    <w:rsid w:val="728227E5"/>
    <w:rsid w:val="743C4B30"/>
    <w:rsid w:val="74EB3356"/>
    <w:rsid w:val="75205996"/>
    <w:rsid w:val="7694110E"/>
    <w:rsid w:val="77BC769C"/>
    <w:rsid w:val="781B0DF2"/>
    <w:rsid w:val="78D611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autoRedefine/>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 w:type="character" w:styleId="6">
    <w:name w:val="Strong"/>
    <w:basedOn w:val="5"/>
    <w:autoRedefine/>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9" Type="http://schemas.openxmlformats.org/officeDocument/2006/relationships/font" Target="fonts/font9.odttf"/><Relationship Id="rId8" Type="http://schemas.openxmlformats.org/officeDocument/2006/relationships/font" Target="fonts/font8.odttf"/><Relationship Id="rId7" Type="http://schemas.openxmlformats.org/officeDocument/2006/relationships/font" Target="fonts/font7.odttf"/><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0" Type="http://schemas.openxmlformats.org/officeDocument/2006/relationships/font" Target="fonts/font10.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2281</Words>
  <Characters>2401</Characters>
  <Lines>0</Lines>
  <Paragraphs>0</Paragraphs>
  <TotalTime>109</TotalTime>
  <ScaleCrop>false</ScaleCrop>
  <LinksUpToDate>false</LinksUpToDate>
  <CharactersWithSpaces>2424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2022-01-13T03:13:00Z</dcterms:created>
  <dc:creator>Administrator</dc:creator>
  <cp:lastModifiedBy>Tmarkx</cp:lastModifiedBy>
  <dcterms:modified xsi:type="dcterms:W3CDTF">2024-01-26T03:27:26Z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18660A212AF846FD9A13A41E8FF125F4_13</vt:lpwstr>
  </property>
</Properties>
</file>