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微山县教育和体育局202</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2</w:t>
      </w:r>
      <w:r>
        <w:rPr>
          <w:rFonts w:hint="eastAsia" w:ascii="方正小标宋简体" w:hAnsi="方正小标宋简体" w:eastAsia="方正小标宋简体" w:cs="方正小标宋简体"/>
          <w:i w:val="0"/>
          <w:caps w:val="0"/>
          <w:color w:val="000000"/>
          <w:spacing w:val="0"/>
          <w:sz w:val="44"/>
          <w:szCs w:val="44"/>
          <w:shd w:val="clear" w:fill="FFFFFF"/>
        </w:rPr>
        <w:t>年政府信息公开工作年度报告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sans-serif" w:hAnsi="sans-serif" w:eastAsia="sans-serif" w:cs="sans-serif"/>
          <w:i w:val="0"/>
          <w:caps w:val="0"/>
          <w:color w:val="000000"/>
          <w:spacing w:val="0"/>
          <w:sz w:val="24"/>
          <w:szCs w:val="24"/>
        </w:rPr>
      </w:pPr>
      <w:r>
        <w:rPr>
          <w:rFonts w:ascii="仿宋" w:hAnsi="仿宋" w:eastAsia="仿宋" w:cs="仿宋"/>
          <w:i w:val="0"/>
          <w:caps w:val="0"/>
          <w:color w:val="000000"/>
          <w:spacing w:val="0"/>
          <w:sz w:val="31"/>
          <w:szCs w:val="31"/>
          <w:shd w:val="clear" w:fill="FFFFFF"/>
        </w:rPr>
        <w:t>本报告由微山县教育和体育局按照</w:t>
      </w:r>
      <w:r>
        <w:rPr>
          <w:rFonts w:hint="eastAsia" w:ascii="仿宋" w:hAnsi="仿宋" w:eastAsia="仿宋" w:cs="仿宋"/>
          <w:i w:val="0"/>
          <w:caps w:val="0"/>
          <w:color w:val="000000"/>
          <w:spacing w:val="0"/>
          <w:sz w:val="31"/>
          <w:szCs w:val="31"/>
          <w:shd w:val="clear" w:fill="FFFFFF"/>
        </w:rPr>
        <w:t>《中华人民共和国政府信息公开条例》（以下简称《条例》）和《中华人民共和国政府信息公开工作年度报告格式》（国办公开办函〔2021〕30号）要求编制。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本报告内容包括总体情况、主动公开政府信息情况、收到和处理政府信息公开申请情况、政府信息公开行政复议和行政诉讼情况、存在的主要问题及改进情况、其他需要报告的事项等六部分内容。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本报告所列数据的统计期限自202</w:t>
      </w:r>
      <w:r>
        <w:rPr>
          <w:rFonts w:hint="eastAsia" w:ascii="仿宋" w:hAnsi="仿宋" w:eastAsia="仿宋" w:cs="仿宋"/>
          <w:i w:val="0"/>
          <w:caps w:val="0"/>
          <w:color w:val="000000"/>
          <w:spacing w:val="0"/>
          <w:sz w:val="31"/>
          <w:szCs w:val="31"/>
          <w:shd w:val="clear" w:fill="FFFFFF"/>
          <w:lang w:val="en-US" w:eastAsia="zh-CN"/>
        </w:rPr>
        <w:t>2</w:t>
      </w:r>
      <w:r>
        <w:rPr>
          <w:rFonts w:hint="eastAsia" w:ascii="仿宋" w:hAnsi="仿宋" w:eastAsia="仿宋" w:cs="仿宋"/>
          <w:i w:val="0"/>
          <w:caps w:val="0"/>
          <w:color w:val="000000"/>
          <w:spacing w:val="0"/>
          <w:sz w:val="31"/>
          <w:szCs w:val="31"/>
          <w:shd w:val="clear" w:fill="FFFFFF"/>
        </w:rPr>
        <w:t>年1月1日起至202</w:t>
      </w:r>
      <w:r>
        <w:rPr>
          <w:rFonts w:hint="eastAsia" w:ascii="仿宋" w:hAnsi="仿宋" w:eastAsia="仿宋" w:cs="仿宋"/>
          <w:i w:val="0"/>
          <w:caps w:val="0"/>
          <w:color w:val="000000"/>
          <w:spacing w:val="0"/>
          <w:sz w:val="31"/>
          <w:szCs w:val="31"/>
          <w:shd w:val="clear" w:fill="FFFFFF"/>
          <w:lang w:val="en-US" w:eastAsia="zh-CN"/>
        </w:rPr>
        <w:t>2</w:t>
      </w:r>
      <w:r>
        <w:rPr>
          <w:rFonts w:hint="eastAsia" w:ascii="仿宋" w:hAnsi="仿宋" w:eastAsia="仿宋" w:cs="仿宋"/>
          <w:i w:val="0"/>
          <w:caps w:val="0"/>
          <w:color w:val="000000"/>
          <w:spacing w:val="0"/>
          <w:sz w:val="31"/>
          <w:szCs w:val="31"/>
          <w:shd w:val="clear" w:fill="FFFFFF"/>
        </w:rPr>
        <w:t>年12月31日止。本报告电子版可在微山县政府门户网站（http://www.weishan.gov.cn/）查阅或下载。如对报告有疑问，请与微山县教育和体育局联系（地址：微山县</w:t>
      </w:r>
      <w:r>
        <w:rPr>
          <w:rFonts w:hint="eastAsia" w:ascii="仿宋" w:hAnsi="仿宋" w:eastAsia="仿宋" w:cs="仿宋"/>
          <w:i w:val="0"/>
          <w:caps w:val="0"/>
          <w:color w:val="000000"/>
          <w:spacing w:val="0"/>
          <w:sz w:val="31"/>
          <w:szCs w:val="31"/>
          <w:shd w:val="clear" w:fill="FFFFFF"/>
          <w:lang w:val="en-US" w:eastAsia="zh-CN"/>
        </w:rPr>
        <w:t>微山湖大道档案馆三楼</w:t>
      </w:r>
      <w:r>
        <w:rPr>
          <w:rFonts w:hint="eastAsia" w:ascii="仿宋" w:hAnsi="仿宋" w:eastAsia="仿宋" w:cs="仿宋"/>
          <w:i w:val="0"/>
          <w:caps w:val="0"/>
          <w:color w:val="000000"/>
          <w:spacing w:val="0"/>
          <w:sz w:val="31"/>
          <w:szCs w:val="31"/>
          <w:shd w:val="clear" w:fill="FFFFFF"/>
        </w:rPr>
        <w:t>，联系电话：0537-8221431）</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spacing w:val="0"/>
          <w:sz w:val="24"/>
          <w:szCs w:val="24"/>
        </w:rPr>
      </w:pPr>
      <w:r>
        <w:rPr>
          <w:rFonts w:ascii="黑体" w:hAnsi="宋体" w:eastAsia="黑体" w:cs="黑体"/>
          <w:i w:val="0"/>
          <w:caps w:val="0"/>
          <w:color w:val="000000"/>
          <w:spacing w:val="0"/>
          <w:sz w:val="31"/>
          <w:szCs w:val="31"/>
          <w:shd w:val="clear" w:fill="FFFFFF"/>
        </w:rPr>
        <w:t>一、总体情况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4"/>
          <w:szCs w:val="24"/>
        </w:rPr>
      </w:pPr>
      <w:r>
        <w:rPr>
          <w:rFonts w:ascii="楷体" w:hAnsi="楷体" w:eastAsia="楷体" w:cs="楷体"/>
          <w:i w:val="0"/>
          <w:caps w:val="0"/>
          <w:color w:val="000000"/>
          <w:spacing w:val="0"/>
          <w:sz w:val="31"/>
          <w:szCs w:val="31"/>
          <w:shd w:val="clear" w:fill="FFFFFF"/>
        </w:rPr>
        <w:t>（一）</w:t>
      </w:r>
      <w:r>
        <w:rPr>
          <w:rFonts w:hint="eastAsia" w:ascii="楷体" w:hAnsi="楷体" w:eastAsia="楷体" w:cs="楷体"/>
          <w:i w:val="0"/>
          <w:caps w:val="0"/>
          <w:color w:val="000000"/>
          <w:spacing w:val="0"/>
          <w:sz w:val="31"/>
          <w:szCs w:val="31"/>
          <w:shd w:val="clear" w:fill="FFFFFF"/>
        </w:rPr>
        <w:t>主动公开情况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202</w:t>
      </w:r>
      <w:r>
        <w:rPr>
          <w:rFonts w:hint="eastAsia" w:ascii="仿宋" w:hAnsi="仿宋" w:eastAsia="仿宋" w:cs="仿宋"/>
          <w:i w:val="0"/>
          <w:caps w:val="0"/>
          <w:color w:val="000000"/>
          <w:spacing w:val="0"/>
          <w:sz w:val="31"/>
          <w:szCs w:val="31"/>
          <w:shd w:val="clear" w:fill="FFFFFF"/>
          <w:lang w:val="en-US" w:eastAsia="zh-CN"/>
        </w:rPr>
        <w:t>2</w:t>
      </w:r>
      <w:r>
        <w:rPr>
          <w:rFonts w:hint="eastAsia" w:ascii="仿宋" w:hAnsi="仿宋" w:eastAsia="仿宋" w:cs="仿宋"/>
          <w:i w:val="0"/>
          <w:caps w:val="0"/>
          <w:color w:val="000000"/>
          <w:spacing w:val="0"/>
          <w:sz w:val="31"/>
          <w:szCs w:val="31"/>
          <w:shd w:val="clear" w:fill="FFFFFF"/>
        </w:rPr>
        <w:t>年度，县教体局政府信息公开数量为276条，其中</w:t>
      </w:r>
      <w:r>
        <w:rPr>
          <w:rStyle w:val="9"/>
          <w:rFonts w:ascii="方正仿宋简体" w:hAnsi="方正仿宋简体" w:eastAsia="方正仿宋简体" w:cs="方正仿宋简体"/>
          <w:b w:val="0"/>
          <w:bCs/>
          <w:i w:val="0"/>
          <w:iCs w:val="0"/>
          <w:caps w:val="0"/>
          <w:color w:val="333333"/>
          <w:spacing w:val="0"/>
          <w:sz w:val="31"/>
          <w:szCs w:val="31"/>
        </w:rPr>
        <w:t>通过网站政务公开栏目主动公开各类政府信息</w:t>
      </w:r>
      <w:r>
        <w:rPr>
          <w:rFonts w:hint="eastAsia" w:ascii="仿宋" w:hAnsi="仿宋" w:eastAsia="仿宋" w:cs="仿宋"/>
          <w:i w:val="0"/>
          <w:caps w:val="0"/>
          <w:color w:val="000000"/>
          <w:spacing w:val="0"/>
          <w:sz w:val="31"/>
          <w:szCs w:val="31"/>
          <w:shd w:val="clear" w:fill="FFFFFF"/>
          <w:lang w:val="en-US" w:eastAsia="zh-CN"/>
        </w:rPr>
        <w:t>202</w:t>
      </w:r>
      <w:r>
        <w:rPr>
          <w:rStyle w:val="9"/>
          <w:rFonts w:hint="eastAsia" w:ascii="方正仿宋简体" w:hAnsi="方正仿宋简体" w:eastAsia="方正仿宋简体" w:cs="方正仿宋简体"/>
          <w:b w:val="0"/>
          <w:bCs/>
          <w:i w:val="0"/>
          <w:iCs w:val="0"/>
          <w:caps w:val="0"/>
          <w:color w:val="333333"/>
          <w:spacing w:val="0"/>
          <w:sz w:val="31"/>
          <w:szCs w:val="31"/>
        </w:rPr>
        <w:t>条</w:t>
      </w:r>
      <w:r>
        <w:rPr>
          <w:rStyle w:val="9"/>
          <w:rFonts w:hint="eastAsia" w:ascii="方正仿宋简体" w:hAnsi="方正仿宋简体" w:eastAsia="方正仿宋简体" w:cs="方正仿宋简体"/>
          <w:b w:val="0"/>
          <w:bCs/>
          <w:i w:val="0"/>
          <w:iCs w:val="0"/>
          <w:caps w:val="0"/>
          <w:color w:val="333333"/>
          <w:spacing w:val="0"/>
          <w:sz w:val="31"/>
          <w:szCs w:val="31"/>
          <w:lang w:eastAsia="zh-CN"/>
        </w:rPr>
        <w:t>，</w:t>
      </w:r>
      <w:r>
        <w:rPr>
          <w:rFonts w:hint="eastAsia" w:ascii="仿宋" w:hAnsi="仿宋" w:eastAsia="仿宋" w:cs="仿宋"/>
          <w:i w:val="0"/>
          <w:caps w:val="0"/>
          <w:color w:val="000000"/>
          <w:spacing w:val="0"/>
          <w:sz w:val="31"/>
          <w:szCs w:val="31"/>
          <w:shd w:val="clear" w:fill="FFFFFF"/>
        </w:rPr>
        <w:t>微信公众号发布动态信息</w:t>
      </w:r>
      <w:r>
        <w:rPr>
          <w:rFonts w:hint="eastAsia" w:ascii="仿宋" w:hAnsi="仿宋" w:eastAsia="仿宋" w:cs="仿宋"/>
          <w:i w:val="0"/>
          <w:caps w:val="0"/>
          <w:color w:val="000000"/>
          <w:spacing w:val="0"/>
          <w:sz w:val="31"/>
          <w:szCs w:val="31"/>
          <w:shd w:val="clear" w:fill="FFFFFF"/>
          <w:lang w:val="en-US" w:eastAsia="zh-CN"/>
        </w:rPr>
        <w:t>74</w:t>
      </w:r>
      <w:r>
        <w:rPr>
          <w:rFonts w:hint="eastAsia" w:ascii="仿宋" w:hAnsi="仿宋" w:eastAsia="仿宋" w:cs="仿宋"/>
          <w:i w:val="0"/>
          <w:caps w:val="0"/>
          <w:color w:val="000000"/>
          <w:spacing w:val="0"/>
          <w:sz w:val="31"/>
          <w:szCs w:val="31"/>
          <w:shd w:val="clear" w:fill="FFFFFF"/>
        </w:rPr>
        <w:t>条；工作动态信息2</w:t>
      </w:r>
      <w:r>
        <w:rPr>
          <w:rFonts w:hint="eastAsia" w:ascii="仿宋" w:hAnsi="仿宋" w:eastAsia="仿宋" w:cs="仿宋"/>
          <w:i w:val="0"/>
          <w:caps w:val="0"/>
          <w:color w:val="000000"/>
          <w:spacing w:val="0"/>
          <w:sz w:val="31"/>
          <w:szCs w:val="31"/>
          <w:shd w:val="clear" w:fill="FFFFFF"/>
          <w:lang w:val="en-US" w:eastAsia="zh-CN"/>
        </w:rPr>
        <w:t>4</w:t>
      </w:r>
      <w:r>
        <w:rPr>
          <w:rFonts w:hint="eastAsia" w:ascii="仿宋" w:hAnsi="仿宋" w:eastAsia="仿宋" w:cs="仿宋"/>
          <w:i w:val="0"/>
          <w:caps w:val="0"/>
          <w:color w:val="000000"/>
          <w:spacing w:val="0"/>
          <w:sz w:val="31"/>
          <w:szCs w:val="31"/>
          <w:shd w:val="clear" w:fill="FFFFFF"/>
        </w:rPr>
        <w:t>条；通知公告信息</w:t>
      </w:r>
      <w:r>
        <w:rPr>
          <w:rFonts w:hint="eastAsia" w:ascii="仿宋" w:hAnsi="仿宋" w:eastAsia="仿宋" w:cs="仿宋"/>
          <w:i w:val="0"/>
          <w:caps w:val="0"/>
          <w:color w:val="000000"/>
          <w:spacing w:val="0"/>
          <w:sz w:val="31"/>
          <w:szCs w:val="31"/>
          <w:shd w:val="clear" w:fill="FFFFFF"/>
          <w:lang w:val="en-US" w:eastAsia="zh-CN"/>
        </w:rPr>
        <w:t>20</w:t>
      </w:r>
      <w:r>
        <w:rPr>
          <w:rFonts w:hint="eastAsia" w:ascii="仿宋" w:hAnsi="仿宋" w:eastAsia="仿宋" w:cs="仿宋"/>
          <w:i w:val="0"/>
          <w:caps w:val="0"/>
          <w:color w:val="000000"/>
          <w:spacing w:val="0"/>
          <w:sz w:val="31"/>
          <w:szCs w:val="31"/>
          <w:shd w:val="clear" w:fill="FFFFFF"/>
        </w:rPr>
        <w:t>条；主动公开本部门文件1条；机构职能信息1条；双随机一公开5条；本部门主动公开基本目录1条。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1"/>
          <w:szCs w:val="31"/>
          <w:shd w:val="clear" w:fill="FFFFFF"/>
          <w:lang w:eastAsia="zh-CN"/>
        </w:rPr>
        <w:drawing>
          <wp:anchor distT="0" distB="0" distL="114300" distR="114300" simplePos="0" relativeHeight="251659264" behindDoc="0" locked="0" layoutInCell="1" allowOverlap="1">
            <wp:simplePos x="0" y="0"/>
            <wp:positionH relativeFrom="column">
              <wp:posOffset>646430</wp:posOffset>
            </wp:positionH>
            <wp:positionV relativeFrom="paragraph">
              <wp:posOffset>177165</wp:posOffset>
            </wp:positionV>
            <wp:extent cx="4528185" cy="2677795"/>
            <wp:effectExtent l="4445" t="4445" r="20320" b="2286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1"/>
          <w:szCs w:val="31"/>
        </w:rPr>
        <w:t>（二）依公开申请情况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202</w:t>
      </w:r>
      <w:r>
        <w:rPr>
          <w:rFonts w:hint="eastAsia" w:ascii="仿宋" w:hAnsi="仿宋" w:eastAsia="仿宋" w:cs="仿宋"/>
          <w:i w:val="0"/>
          <w:caps w:val="0"/>
          <w:color w:val="000000"/>
          <w:spacing w:val="0"/>
          <w:sz w:val="31"/>
          <w:szCs w:val="31"/>
          <w:shd w:val="clear" w:fill="FFFFFF"/>
          <w:lang w:val="en-US" w:eastAsia="zh-CN"/>
        </w:rPr>
        <w:t>2</w:t>
      </w:r>
      <w:r>
        <w:rPr>
          <w:rFonts w:hint="eastAsia" w:ascii="仿宋" w:hAnsi="仿宋" w:eastAsia="仿宋" w:cs="仿宋"/>
          <w:i w:val="0"/>
          <w:caps w:val="0"/>
          <w:color w:val="000000"/>
          <w:spacing w:val="0"/>
          <w:sz w:val="31"/>
          <w:szCs w:val="31"/>
          <w:shd w:val="clear" w:fill="FFFFFF"/>
        </w:rPr>
        <w:t>年，我局接到依申请公开政府信息</w:t>
      </w:r>
      <w:r>
        <w:rPr>
          <w:rFonts w:hint="eastAsia" w:ascii="仿宋" w:hAnsi="仿宋" w:eastAsia="仿宋" w:cs="仿宋"/>
          <w:i w:val="0"/>
          <w:caps w:val="0"/>
          <w:color w:val="000000"/>
          <w:spacing w:val="0"/>
          <w:sz w:val="31"/>
          <w:szCs w:val="31"/>
          <w:shd w:val="clear" w:fill="FFFFFF"/>
          <w:lang w:val="en-US" w:eastAsia="zh-CN"/>
        </w:rPr>
        <w:t>2</w:t>
      </w:r>
      <w:r>
        <w:rPr>
          <w:rFonts w:hint="eastAsia" w:ascii="仿宋" w:hAnsi="仿宋" w:eastAsia="仿宋" w:cs="仿宋"/>
          <w:i w:val="0"/>
          <w:caps w:val="0"/>
          <w:color w:val="000000"/>
          <w:spacing w:val="0"/>
          <w:sz w:val="31"/>
          <w:szCs w:val="31"/>
          <w:shd w:val="clear" w:fill="FFFFFF"/>
        </w:rPr>
        <w:t>条，公开</w:t>
      </w:r>
      <w:r>
        <w:rPr>
          <w:rFonts w:hint="eastAsia" w:ascii="仿宋" w:hAnsi="仿宋" w:eastAsia="仿宋" w:cs="仿宋"/>
          <w:i w:val="0"/>
          <w:caps w:val="0"/>
          <w:color w:val="000000"/>
          <w:spacing w:val="0"/>
          <w:sz w:val="31"/>
          <w:szCs w:val="31"/>
          <w:shd w:val="clear" w:fill="FFFFFF"/>
          <w:lang w:val="en-US" w:eastAsia="zh-CN"/>
        </w:rPr>
        <w:t>2</w:t>
      </w:r>
      <w:r>
        <w:rPr>
          <w:rFonts w:hint="eastAsia" w:ascii="仿宋" w:hAnsi="仿宋" w:eastAsia="仿宋" w:cs="仿宋"/>
          <w:i w:val="0"/>
          <w:caps w:val="0"/>
          <w:color w:val="000000"/>
          <w:spacing w:val="0"/>
          <w:sz w:val="31"/>
          <w:szCs w:val="31"/>
          <w:shd w:val="clear" w:fill="FFFFFF"/>
        </w:rPr>
        <w:t>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1"/>
          <w:szCs w:val="31"/>
        </w:rPr>
        <w:t>（三）政府信息管理情况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1"/>
          <w:szCs w:val="31"/>
          <w:shd w:val="clear" w:fill="FFFFFF"/>
        </w:rPr>
        <w:t>一是加强</w:t>
      </w:r>
      <w:r>
        <w:rPr>
          <w:rFonts w:hint="eastAsia" w:ascii="仿宋" w:hAnsi="仿宋" w:eastAsia="仿宋" w:cs="仿宋"/>
          <w:i w:val="0"/>
          <w:caps w:val="0"/>
          <w:color w:val="000000"/>
          <w:spacing w:val="0"/>
          <w:sz w:val="31"/>
          <w:szCs w:val="31"/>
          <w:shd w:val="clear" w:fill="FFFFFF"/>
          <w:lang w:val="en-US" w:eastAsia="zh-CN"/>
        </w:rPr>
        <w:t>领导、精心组织。我局高度重视政务公开工作，把政务公开作为单位加强党的建设、全面落实科学发展观、构建社会主义和谐社会重要举措的一部分，成立了由局长任组长，局分管局长为副组长,局各股室负责人为成员的政务公开工作领导小组，领导组下设办公室，并与局办公室合并办公。</w:t>
      </w:r>
      <w:r>
        <w:rPr>
          <w:rFonts w:hint="eastAsia" w:ascii="仿宋" w:hAnsi="仿宋" w:eastAsia="仿宋" w:cs="仿宋"/>
          <w:i w:val="0"/>
          <w:caps w:val="0"/>
          <w:color w:val="000000"/>
          <w:spacing w:val="0"/>
          <w:sz w:val="31"/>
          <w:szCs w:val="31"/>
          <w:shd w:val="clear" w:fill="FFFFFF"/>
        </w:rPr>
        <w:t>二是</w:t>
      </w:r>
      <w:r>
        <w:rPr>
          <w:rFonts w:hint="eastAsia" w:ascii="仿宋" w:hAnsi="仿宋" w:eastAsia="仿宋" w:cs="仿宋"/>
          <w:i w:val="0"/>
          <w:caps w:val="0"/>
          <w:color w:val="000000"/>
          <w:spacing w:val="0"/>
          <w:sz w:val="31"/>
          <w:szCs w:val="31"/>
          <w:shd w:val="clear" w:fill="FFFFFF"/>
          <w:lang w:val="en-US" w:eastAsia="zh-CN"/>
        </w:rPr>
        <w:t>夯实基础</w:t>
      </w:r>
      <w:r>
        <w:rPr>
          <w:rFonts w:hint="eastAsia" w:ascii="仿宋" w:hAnsi="仿宋" w:eastAsia="仿宋" w:cs="仿宋"/>
          <w:i w:val="0"/>
          <w:caps w:val="0"/>
          <w:color w:val="000000"/>
          <w:spacing w:val="0"/>
          <w:sz w:val="31"/>
          <w:szCs w:val="31"/>
          <w:shd w:val="clear" w:fill="FFFFFF"/>
        </w:rPr>
        <w:t>，建立健全信息公开长效机制</w:t>
      </w:r>
      <w:r>
        <w:rPr>
          <w:rFonts w:hint="eastAsia" w:ascii="仿宋" w:hAnsi="仿宋" w:eastAsia="仿宋" w:cs="仿宋"/>
          <w:i w:val="0"/>
          <w:caps w:val="0"/>
          <w:color w:val="000000"/>
          <w:spacing w:val="0"/>
          <w:sz w:val="31"/>
          <w:szCs w:val="31"/>
          <w:shd w:val="clear" w:fill="FFFFFF"/>
          <w:lang w:eastAsia="zh-CN"/>
        </w:rPr>
        <w:t>。在公开内容上围绕重点领域、关键环节，突出群众关心、社会关注、与群众利益关系最密切的重要事项，从单位职能职责、行政权力运行到年度工作目标及执行情况、重点领域财政资金实施安排、三公经费等都按照要求公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1"/>
          <w:szCs w:val="31"/>
          <w:shd w:val="clear" w:fill="FFFFFF"/>
        </w:rPr>
        <w:t>（四）平台建设情况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一是网络公开，在我</w:t>
      </w:r>
      <w:r>
        <w:rPr>
          <w:rFonts w:hint="eastAsia" w:ascii="仿宋" w:hAnsi="仿宋" w:eastAsia="仿宋" w:cs="仿宋"/>
          <w:i w:val="0"/>
          <w:caps w:val="0"/>
          <w:color w:val="000000"/>
          <w:spacing w:val="0"/>
          <w:sz w:val="31"/>
          <w:szCs w:val="31"/>
          <w:shd w:val="clear" w:fill="FFFFFF"/>
          <w:lang w:val="en-US" w:eastAsia="zh-CN"/>
        </w:rPr>
        <w:t>局</w:t>
      </w:r>
      <w:r>
        <w:rPr>
          <w:rFonts w:hint="eastAsia" w:ascii="仿宋" w:hAnsi="仿宋" w:eastAsia="仿宋" w:cs="仿宋"/>
          <w:i w:val="0"/>
          <w:caps w:val="0"/>
          <w:color w:val="000000"/>
          <w:spacing w:val="0"/>
          <w:sz w:val="31"/>
          <w:szCs w:val="31"/>
          <w:shd w:val="clear" w:fill="FFFFFF"/>
        </w:rPr>
        <w:t>网站上设立政务信息公开栏，向社会及时公开公告相关政策和信息；二是在单位还采取公开栏公开、各种会议、座谈交流、直接告知、下发文件、信息简报等形式，丰富了信息公开的形式。切实做到政策性法规长期公开，常规性工作定期公开，阶段性工作逐段公开，动态性内容及时公开；三是设立投诉信箱，专门接受群众投诉举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1"/>
          <w:szCs w:val="31"/>
          <w:shd w:val="clear" w:fill="FFFFFF"/>
        </w:rPr>
        <w:t>（五）监督保障工作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1"/>
          <w:szCs w:val="31"/>
          <w:shd w:val="clear" w:fill="FFFFFF"/>
        </w:rPr>
        <w:t>建立健全相关工作机制。结合工作实际，我局制定了信息公开目录和指南，明确了我局政务信息公开的范围、方式、职责和分工、程序、监督、保障，建立健全了林业信息公开协调、审查、发布、考核等工作机制，确保各项政务信息及时主动公开</w:t>
      </w:r>
      <w:r>
        <w:rPr>
          <w:rFonts w:hint="eastAsia" w:ascii="仿宋" w:hAnsi="仿宋" w:eastAsia="仿宋" w:cs="仿宋"/>
          <w:i w:val="0"/>
          <w:caps w:val="0"/>
          <w:color w:val="000000"/>
          <w:spacing w:val="0"/>
          <w:sz w:val="31"/>
          <w:szCs w:val="31"/>
          <w:shd w:val="clear" w:fill="FFFFFF"/>
          <w:lang w:eastAsia="zh-C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4"/>
          <w:szCs w:val="24"/>
        </w:rPr>
      </w:pPr>
      <w:r>
        <w:rPr>
          <w:rStyle w:val="9"/>
          <w:rFonts w:hint="eastAsia" w:ascii="黑体" w:hAnsi="宋体" w:eastAsia="黑体" w:cs="黑体"/>
          <w:i w:val="0"/>
          <w:caps w:val="0"/>
          <w:color w:val="000000"/>
          <w:spacing w:val="0"/>
          <w:sz w:val="31"/>
          <w:szCs w:val="31"/>
          <w:shd w:val="clear" w:fill="FFFFFF"/>
        </w:rPr>
        <w:t>二、主动公开政府信息情况</w:t>
      </w:r>
    </w:p>
    <w:tbl>
      <w:tblPr>
        <w:tblStyle w:val="7"/>
        <w:tblW w:w="9054" w:type="dxa"/>
        <w:jc w:val="center"/>
        <w:tblInd w:w="0" w:type="dxa"/>
        <w:shd w:val="clear" w:color="auto" w:fill="auto"/>
        <w:tblLayout w:type="fixed"/>
        <w:tblCellMar>
          <w:top w:w="15" w:type="dxa"/>
          <w:left w:w="15" w:type="dxa"/>
          <w:bottom w:w="15" w:type="dxa"/>
          <w:right w:w="15" w:type="dxa"/>
        </w:tblCellMar>
      </w:tblPr>
      <w:tblGrid>
        <w:gridCol w:w="2884"/>
        <w:gridCol w:w="2043"/>
        <w:gridCol w:w="1996"/>
        <w:gridCol w:w="2131"/>
      </w:tblGrid>
      <w:tr>
        <w:tblPrEx>
          <w:shd w:val="clear" w:color="auto" w:fill="auto"/>
          <w:tblLayout w:type="fixed"/>
          <w:tblCellMar>
            <w:top w:w="15" w:type="dxa"/>
            <w:left w:w="15" w:type="dxa"/>
            <w:bottom w:w="15" w:type="dxa"/>
            <w:right w:w="15" w:type="dxa"/>
          </w:tblCellMar>
        </w:tblPrEx>
        <w:trPr>
          <w:trHeight w:val="23" w:hRule="atLeast"/>
          <w:jc w:val="center"/>
        </w:trPr>
        <w:tc>
          <w:tcPr>
            <w:tcW w:w="9054"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第二十条第（一）项</w:t>
            </w:r>
          </w:p>
        </w:tc>
      </w:tr>
      <w:tr>
        <w:tblPrEx>
          <w:tblLayout w:type="fixed"/>
          <w:tblCellMar>
            <w:top w:w="15" w:type="dxa"/>
            <w:left w:w="15" w:type="dxa"/>
            <w:bottom w:w="15" w:type="dxa"/>
            <w:right w:w="15" w:type="dxa"/>
          </w:tblCellMar>
        </w:tblPrEx>
        <w:trPr>
          <w:trHeight w:val="490"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信息内容</w:t>
            </w:r>
          </w:p>
        </w:tc>
        <w:tc>
          <w:tcPr>
            <w:tcW w:w="204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本年新制作数量</w:t>
            </w:r>
          </w:p>
        </w:tc>
        <w:tc>
          <w:tcPr>
            <w:tcW w:w="199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ascii="宋体" w:hAnsi="宋体" w:eastAsia="宋体" w:cs="宋体"/>
                <w:sz w:val="19"/>
                <w:szCs w:val="19"/>
              </w:rPr>
              <w:t>本年</w:t>
            </w:r>
            <w:r>
              <w:rPr>
                <w:rFonts w:hint="eastAsia" w:ascii="宋体" w:hAnsi="宋体" w:eastAsia="宋体" w:cs="宋体"/>
                <w:sz w:val="19"/>
                <w:szCs w:val="19"/>
                <w:lang w:val="en-US" w:eastAsia="zh-CN"/>
              </w:rPr>
              <w:t>废止件数</w:t>
            </w:r>
          </w:p>
        </w:tc>
        <w:tc>
          <w:tcPr>
            <w:tcW w:w="21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Theme="minorEastAsia"/>
                <w:lang w:val="en-US" w:eastAsia="zh-CN"/>
              </w:rPr>
            </w:pPr>
            <w:r>
              <w:rPr>
                <w:rFonts w:hint="eastAsia" w:ascii="宋体" w:hAnsi="宋体" w:eastAsia="宋体" w:cs="宋体"/>
                <w:sz w:val="19"/>
                <w:szCs w:val="19"/>
                <w:lang w:val="en-US" w:eastAsia="zh-CN"/>
              </w:rPr>
              <w:t>现行有效件数</w:t>
            </w:r>
          </w:p>
        </w:tc>
      </w:tr>
      <w:tr>
        <w:tblPrEx>
          <w:tblLayout w:type="fixed"/>
          <w:tblCellMar>
            <w:top w:w="15" w:type="dxa"/>
            <w:left w:w="15" w:type="dxa"/>
            <w:bottom w:w="15" w:type="dxa"/>
            <w:right w:w="15" w:type="dxa"/>
          </w:tblCellMar>
        </w:tblPrEx>
        <w:trPr>
          <w:trHeight w:val="507"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规章</w:t>
            </w:r>
          </w:p>
        </w:tc>
        <w:tc>
          <w:tcPr>
            <w:tcW w:w="20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0</w:t>
            </w:r>
          </w:p>
        </w:tc>
        <w:tc>
          <w:tcPr>
            <w:tcW w:w="19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21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Layout w:type="fixed"/>
          <w:tblCellMar>
            <w:top w:w="15" w:type="dxa"/>
            <w:left w:w="15" w:type="dxa"/>
            <w:bottom w:w="15" w:type="dxa"/>
            <w:right w:w="15" w:type="dxa"/>
          </w:tblCellMar>
        </w:tblPrEx>
        <w:trPr>
          <w:trHeight w:val="17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规范性文件</w:t>
            </w:r>
          </w:p>
        </w:tc>
        <w:tc>
          <w:tcPr>
            <w:tcW w:w="20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19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c>
          <w:tcPr>
            <w:tcW w:w="213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Layout w:type="fixed"/>
          <w:tblCellMar>
            <w:top w:w="15" w:type="dxa"/>
            <w:left w:w="15" w:type="dxa"/>
            <w:bottom w:w="15" w:type="dxa"/>
            <w:right w:w="15" w:type="dxa"/>
          </w:tblCellMar>
        </w:tblPrEx>
        <w:trPr>
          <w:trHeight w:val="23" w:hRule="atLeast"/>
          <w:jc w:val="center"/>
        </w:trPr>
        <w:tc>
          <w:tcPr>
            <w:tcW w:w="905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第二十条第（五）项</w:t>
            </w:r>
          </w:p>
        </w:tc>
      </w:tr>
      <w:tr>
        <w:tblPrEx>
          <w:tblLayout w:type="fixed"/>
          <w:tblCellMar>
            <w:top w:w="15" w:type="dxa"/>
            <w:left w:w="15" w:type="dxa"/>
            <w:bottom w:w="15" w:type="dxa"/>
            <w:right w:w="15" w:type="dxa"/>
          </w:tblCellMar>
        </w:tblPrEx>
        <w:trPr>
          <w:trHeight w:val="2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信息内容</w:t>
            </w:r>
          </w:p>
        </w:tc>
        <w:tc>
          <w:tcPr>
            <w:tcW w:w="617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本年处理决定数量</w:t>
            </w:r>
          </w:p>
        </w:tc>
      </w:tr>
      <w:tr>
        <w:tblPrEx>
          <w:tblLayout w:type="fixed"/>
          <w:tblCellMar>
            <w:top w:w="15" w:type="dxa"/>
            <w:left w:w="15" w:type="dxa"/>
            <w:bottom w:w="15" w:type="dxa"/>
            <w:right w:w="15" w:type="dxa"/>
          </w:tblCellMar>
        </w:tblPrEx>
        <w:trPr>
          <w:trHeight w:val="2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行政许可</w:t>
            </w:r>
          </w:p>
        </w:tc>
        <w:tc>
          <w:tcPr>
            <w:tcW w:w="617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21"/>
                <w:szCs w:val="21"/>
              </w:rPr>
              <w:t>0</w:t>
            </w:r>
          </w:p>
        </w:tc>
      </w:tr>
      <w:tr>
        <w:tblPrEx>
          <w:tblLayout w:type="fixed"/>
          <w:tblCellMar>
            <w:top w:w="15" w:type="dxa"/>
            <w:left w:w="15" w:type="dxa"/>
            <w:bottom w:w="15" w:type="dxa"/>
            <w:right w:w="15" w:type="dxa"/>
          </w:tblCellMar>
        </w:tblPrEx>
        <w:trPr>
          <w:trHeight w:val="23" w:hRule="atLeast"/>
          <w:jc w:val="center"/>
        </w:trPr>
        <w:tc>
          <w:tcPr>
            <w:tcW w:w="905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第二十条第（六）项</w:t>
            </w:r>
          </w:p>
        </w:tc>
      </w:tr>
      <w:tr>
        <w:tblPrEx>
          <w:tblLayout w:type="fixed"/>
          <w:tblCellMar>
            <w:top w:w="15" w:type="dxa"/>
            <w:left w:w="15" w:type="dxa"/>
            <w:bottom w:w="15" w:type="dxa"/>
            <w:right w:w="15" w:type="dxa"/>
          </w:tblCellMar>
        </w:tblPrEx>
        <w:trPr>
          <w:trHeight w:val="2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信息内容</w:t>
            </w:r>
          </w:p>
        </w:tc>
        <w:tc>
          <w:tcPr>
            <w:tcW w:w="617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lang w:val="en-US" w:eastAsia="zh-CN"/>
              </w:rPr>
              <w:t>本年处理决定数量</w:t>
            </w:r>
          </w:p>
        </w:tc>
      </w:tr>
      <w:tr>
        <w:tblPrEx>
          <w:tblLayout w:type="fixed"/>
          <w:tblCellMar>
            <w:top w:w="15" w:type="dxa"/>
            <w:left w:w="15" w:type="dxa"/>
            <w:bottom w:w="15" w:type="dxa"/>
            <w:right w:w="15" w:type="dxa"/>
          </w:tblCellMar>
        </w:tblPrEx>
        <w:trPr>
          <w:trHeight w:val="2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行政处罚</w:t>
            </w:r>
          </w:p>
        </w:tc>
        <w:tc>
          <w:tcPr>
            <w:tcW w:w="617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lang w:val="en-US" w:eastAsia="zh-CN"/>
              </w:rPr>
            </w:pPr>
            <w:r>
              <w:rPr>
                <w:rFonts w:hint="eastAsia"/>
                <w:lang w:val="en-US" w:eastAsia="zh-CN"/>
              </w:rPr>
              <w:t>0</w:t>
            </w:r>
          </w:p>
        </w:tc>
      </w:tr>
      <w:tr>
        <w:tblPrEx>
          <w:tblLayout w:type="fixed"/>
          <w:tblCellMar>
            <w:top w:w="15" w:type="dxa"/>
            <w:left w:w="15" w:type="dxa"/>
            <w:bottom w:w="15" w:type="dxa"/>
            <w:right w:w="15" w:type="dxa"/>
          </w:tblCellMar>
        </w:tblPrEx>
        <w:trPr>
          <w:trHeight w:val="2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行政强制</w:t>
            </w:r>
          </w:p>
        </w:tc>
        <w:tc>
          <w:tcPr>
            <w:tcW w:w="617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lang w:val="en-US" w:eastAsia="zh-CN"/>
              </w:rPr>
            </w:pPr>
            <w:r>
              <w:rPr>
                <w:rFonts w:hint="eastAsia"/>
                <w:lang w:val="en-US" w:eastAsia="zh-CN"/>
              </w:rPr>
              <w:t>0</w:t>
            </w:r>
          </w:p>
        </w:tc>
      </w:tr>
      <w:tr>
        <w:tblPrEx>
          <w:tblLayout w:type="fixed"/>
          <w:tblCellMar>
            <w:top w:w="15" w:type="dxa"/>
            <w:left w:w="15" w:type="dxa"/>
            <w:bottom w:w="15" w:type="dxa"/>
            <w:right w:w="15" w:type="dxa"/>
          </w:tblCellMar>
        </w:tblPrEx>
        <w:trPr>
          <w:trHeight w:val="23" w:hRule="atLeast"/>
          <w:jc w:val="center"/>
        </w:trPr>
        <w:tc>
          <w:tcPr>
            <w:tcW w:w="905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第二十条第（八）项</w:t>
            </w:r>
          </w:p>
        </w:tc>
      </w:tr>
      <w:tr>
        <w:tblPrEx>
          <w:tblLayout w:type="fixed"/>
          <w:tblCellMar>
            <w:top w:w="15" w:type="dxa"/>
            <w:left w:w="15" w:type="dxa"/>
            <w:bottom w:w="15" w:type="dxa"/>
            <w:right w:w="15" w:type="dxa"/>
          </w:tblCellMar>
        </w:tblPrEx>
        <w:trPr>
          <w:trHeight w:val="2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信息内容</w:t>
            </w:r>
          </w:p>
        </w:tc>
        <w:tc>
          <w:tcPr>
            <w:tcW w:w="617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本年收费金额（单位：万元）</w:t>
            </w:r>
          </w:p>
        </w:tc>
      </w:tr>
      <w:tr>
        <w:tblPrEx>
          <w:tblLayout w:type="fixed"/>
          <w:tblCellMar>
            <w:top w:w="15" w:type="dxa"/>
            <w:left w:w="15" w:type="dxa"/>
            <w:bottom w:w="15" w:type="dxa"/>
            <w:right w:w="15" w:type="dxa"/>
          </w:tblCellMar>
        </w:tblPrEx>
        <w:trPr>
          <w:trHeight w:val="23" w:hRule="atLeast"/>
          <w:jc w:val="center"/>
        </w:trPr>
        <w:tc>
          <w:tcPr>
            <w:tcW w:w="288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sz w:val="19"/>
                <w:szCs w:val="19"/>
              </w:rPr>
              <w:t>行政事业性收费</w:t>
            </w:r>
          </w:p>
        </w:tc>
        <w:tc>
          <w:tcPr>
            <w:tcW w:w="617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lang w:val="en-US" w:eastAsia="zh-CN"/>
              </w:rPr>
            </w:pPr>
            <w:r>
              <w:rPr>
                <w:rFonts w:hint="eastAsia"/>
                <w:lang w:val="en-US" w:eastAsia="zh-CN"/>
              </w:rPr>
              <w:t>0</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spacing w:val="0"/>
          <w:sz w:val="24"/>
          <w:szCs w:val="24"/>
        </w:rPr>
      </w:pPr>
      <w:r>
        <w:rPr>
          <w:rStyle w:val="9"/>
          <w:rFonts w:hint="eastAsia" w:ascii="黑体" w:hAnsi="宋体" w:eastAsia="黑体" w:cs="黑体"/>
          <w:i w:val="0"/>
          <w:caps w:val="0"/>
          <w:color w:val="000000"/>
          <w:spacing w:val="0"/>
          <w:sz w:val="31"/>
          <w:szCs w:val="31"/>
          <w:shd w:val="clear" w:fill="FFFFFF"/>
        </w:rPr>
        <w:t>三、收到和处理政府信息公开申请情况</w:t>
      </w:r>
    </w:p>
    <w:tbl>
      <w:tblPr>
        <w:tblStyle w:val="7"/>
        <w:tblW w:w="906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4"/>
        <w:gridCol w:w="854"/>
        <w:gridCol w:w="2791"/>
        <w:gridCol w:w="600"/>
        <w:gridCol w:w="600"/>
        <w:gridCol w:w="900"/>
        <w:gridCol w:w="817"/>
        <w:gridCol w:w="833"/>
        <w:gridCol w:w="534"/>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425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（本列数据的勾稽关系为：第一项加第二项之和，等于第三项加第四项之和）</w:t>
            </w:r>
          </w:p>
        </w:tc>
        <w:tc>
          <w:tcPr>
            <w:tcW w:w="4809"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42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自然人</w:t>
            </w:r>
          </w:p>
        </w:tc>
        <w:tc>
          <w:tcPr>
            <w:tcW w:w="3684"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法人或其他组织</w:t>
            </w:r>
          </w:p>
        </w:tc>
        <w:tc>
          <w:tcPr>
            <w:tcW w:w="52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42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商业企业</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科研机构</w:t>
            </w:r>
          </w:p>
        </w:tc>
        <w:tc>
          <w:tcPr>
            <w:tcW w:w="81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社会公益组织</w:t>
            </w:r>
          </w:p>
        </w:tc>
        <w:tc>
          <w:tcPr>
            <w:tcW w:w="8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法律服务机构</w:t>
            </w:r>
          </w:p>
        </w:tc>
        <w:tc>
          <w:tcPr>
            <w:tcW w:w="5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其他</w:t>
            </w:r>
          </w:p>
        </w:tc>
        <w:tc>
          <w:tcPr>
            <w:tcW w:w="52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一、本年新收政府信息公开申请数量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二、上年结转政府信息公开申请数量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三、本年度办理结果</w:t>
            </w: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（一）予以公开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（二）部分公开（区分处理的，只计这一情形，不计其他情形）</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（三）不予公开</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1.</w:t>
            </w:r>
            <w:r>
              <w:rPr>
                <w:rFonts w:hint="eastAsia" w:ascii="宋体" w:hAnsi="宋体" w:eastAsia="宋体" w:cs="宋体"/>
                <w:sz w:val="19"/>
                <w:szCs w:val="19"/>
              </w:rPr>
              <w:t>属于国家秘密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2.</w:t>
            </w:r>
            <w:r>
              <w:rPr>
                <w:rFonts w:hint="eastAsia" w:ascii="宋体" w:hAnsi="宋体" w:eastAsia="宋体" w:cs="宋体"/>
                <w:sz w:val="19"/>
                <w:szCs w:val="19"/>
              </w:rPr>
              <w:t>其他法律行政法规禁止公开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3.</w:t>
            </w:r>
            <w:r>
              <w:rPr>
                <w:rFonts w:hint="eastAsia" w:ascii="宋体" w:hAnsi="宋体" w:eastAsia="宋体" w:cs="宋体"/>
                <w:sz w:val="19"/>
                <w:szCs w:val="19"/>
              </w:rPr>
              <w:t>危及</w:t>
            </w:r>
            <w:r>
              <w:rPr>
                <w:rFonts w:hint="default" w:ascii="Times New Roman" w:hAnsi="Times New Roman" w:cs="Times New Roman"/>
                <w:sz w:val="19"/>
                <w:szCs w:val="19"/>
              </w:rPr>
              <w:t>“</w:t>
            </w:r>
            <w:r>
              <w:rPr>
                <w:rFonts w:hint="eastAsia" w:ascii="宋体" w:hAnsi="宋体" w:eastAsia="宋体" w:cs="宋体"/>
                <w:sz w:val="19"/>
                <w:szCs w:val="19"/>
              </w:rPr>
              <w:t>三安全一稳定</w:t>
            </w:r>
            <w:r>
              <w:rPr>
                <w:rFonts w:hint="default" w:ascii="Times New Roman" w:hAnsi="Times New Roman" w:cs="Times New Roman"/>
                <w:sz w:val="19"/>
                <w:szCs w:val="19"/>
              </w:rPr>
              <w:t>”</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4.</w:t>
            </w:r>
            <w:r>
              <w:rPr>
                <w:rFonts w:hint="eastAsia" w:ascii="宋体" w:hAnsi="宋体" w:eastAsia="宋体" w:cs="宋体"/>
                <w:sz w:val="19"/>
                <w:szCs w:val="19"/>
              </w:rPr>
              <w:t>保护第三方合法权益</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5.</w:t>
            </w:r>
            <w:r>
              <w:rPr>
                <w:rFonts w:hint="eastAsia" w:ascii="宋体" w:hAnsi="宋体" w:eastAsia="宋体" w:cs="宋体"/>
                <w:sz w:val="19"/>
                <w:szCs w:val="19"/>
              </w:rPr>
              <w:t>属于三类内部事务信息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6.</w:t>
            </w:r>
            <w:r>
              <w:rPr>
                <w:rFonts w:hint="eastAsia" w:ascii="宋体" w:hAnsi="宋体" w:eastAsia="宋体" w:cs="宋体"/>
                <w:sz w:val="19"/>
                <w:szCs w:val="19"/>
              </w:rPr>
              <w:t>属于四类过程性信息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7.</w:t>
            </w:r>
            <w:r>
              <w:rPr>
                <w:rFonts w:hint="eastAsia" w:ascii="宋体" w:hAnsi="宋体" w:eastAsia="宋体" w:cs="宋体"/>
                <w:sz w:val="19"/>
                <w:szCs w:val="19"/>
              </w:rPr>
              <w:t>属于行政执法案卷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8.</w:t>
            </w:r>
            <w:r>
              <w:rPr>
                <w:rFonts w:hint="eastAsia" w:ascii="宋体" w:hAnsi="宋体" w:eastAsia="宋体" w:cs="宋体"/>
                <w:sz w:val="19"/>
                <w:szCs w:val="19"/>
              </w:rPr>
              <w:t>属于行政查询事项</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（四）无法提供</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1.</w:t>
            </w:r>
            <w:r>
              <w:rPr>
                <w:rFonts w:hint="eastAsia" w:ascii="宋体" w:hAnsi="宋体" w:eastAsia="宋体" w:cs="宋体"/>
                <w:sz w:val="19"/>
                <w:szCs w:val="19"/>
              </w:rPr>
              <w:t>本机关不掌握相关政府信息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2.</w:t>
            </w:r>
            <w:r>
              <w:rPr>
                <w:rFonts w:hint="eastAsia" w:ascii="宋体" w:hAnsi="宋体" w:eastAsia="宋体" w:cs="宋体"/>
                <w:sz w:val="19"/>
                <w:szCs w:val="19"/>
              </w:rPr>
              <w:t>没有现成信息需要另行制作</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3.</w:t>
            </w:r>
            <w:r>
              <w:rPr>
                <w:rFonts w:hint="eastAsia" w:ascii="宋体" w:hAnsi="宋体" w:eastAsia="宋体" w:cs="宋体"/>
                <w:sz w:val="19"/>
                <w:szCs w:val="19"/>
              </w:rPr>
              <w:t>补正后申请内容仍不明确</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（五）不予处理</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1.</w:t>
            </w:r>
            <w:r>
              <w:rPr>
                <w:rFonts w:hint="eastAsia" w:ascii="宋体" w:hAnsi="宋体" w:eastAsia="宋体" w:cs="宋体"/>
                <w:sz w:val="19"/>
                <w:szCs w:val="19"/>
              </w:rPr>
              <w:t>信访举报投诉类申请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2.</w:t>
            </w:r>
            <w:r>
              <w:rPr>
                <w:rFonts w:hint="eastAsia" w:ascii="宋体" w:hAnsi="宋体" w:eastAsia="宋体" w:cs="宋体"/>
                <w:sz w:val="19"/>
                <w:szCs w:val="19"/>
              </w:rPr>
              <w:t>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3.</w:t>
            </w:r>
            <w:r>
              <w:rPr>
                <w:rFonts w:hint="eastAsia" w:ascii="宋体" w:hAnsi="宋体" w:eastAsia="宋体" w:cs="宋体"/>
                <w:sz w:val="19"/>
                <w:szCs w:val="19"/>
              </w:rPr>
              <w:t>要求提供公开出版物</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4.</w:t>
            </w:r>
            <w:r>
              <w:rPr>
                <w:rFonts w:hint="eastAsia" w:ascii="宋体" w:hAnsi="宋体" w:eastAsia="宋体" w:cs="宋体"/>
                <w:sz w:val="19"/>
                <w:szCs w:val="19"/>
              </w:rPr>
              <w:t>无正当理由大量反复申请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pPr>
            <w:r>
              <w:rPr>
                <w:rFonts w:hint="default" w:ascii="Times New Roman" w:hAnsi="Times New Roman" w:cs="Times New Roman"/>
                <w:sz w:val="19"/>
                <w:szCs w:val="19"/>
              </w:rPr>
              <w:t>5.</w:t>
            </w:r>
            <w:r>
              <w:rPr>
                <w:rFonts w:hint="eastAsia" w:ascii="宋体" w:hAnsi="宋体" w:eastAsia="宋体" w:cs="宋体"/>
                <w:sz w:val="19"/>
                <w:szCs w:val="19"/>
              </w:rPr>
              <w:t>要求行政机关确认或重新出具已获取信息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（六）其他处理</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default" w:ascii="Times New Roman" w:hAnsi="Times New Roman" w:eastAsia="宋体" w:cs="Times New Roman"/>
                <w:sz w:val="19"/>
                <w:szCs w:val="19"/>
              </w:rPr>
              <w:t>1.</w:t>
            </w:r>
            <w:r>
              <w:rPr>
                <w:rFonts w:hint="eastAsia" w:ascii="宋体" w:hAnsi="宋体" w:eastAsia="宋体" w:cs="宋体"/>
                <w:sz w:val="19"/>
                <w:szCs w:val="19"/>
              </w:rPr>
              <w:t>申请人无正当理由逾期不补正、行政机关不再处理其政府信息公开申请</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default" w:ascii="Times New Roman" w:hAnsi="Times New Roman" w:eastAsia="宋体" w:cs="Times New Roman"/>
                <w:sz w:val="19"/>
                <w:szCs w:val="19"/>
              </w:rPr>
              <w:t>2.</w:t>
            </w:r>
            <w:r>
              <w:rPr>
                <w:rFonts w:hint="eastAsia" w:ascii="宋体" w:hAnsi="宋体" w:eastAsia="宋体" w:cs="宋体"/>
                <w:sz w:val="19"/>
                <w:szCs w:val="19"/>
              </w:rPr>
              <w:t>申请人逾期未按收费通知要求缴纳费用、行政机关不再处理其政府信息公开申请</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854"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default" w:ascii="Times New Roman" w:hAnsi="Times New Roman" w:eastAsia="宋体" w:cs="Times New Roman"/>
                <w:sz w:val="19"/>
                <w:szCs w:val="19"/>
              </w:rPr>
              <w:t>3.</w:t>
            </w:r>
            <w:r>
              <w:rPr>
                <w:rFonts w:hint="eastAsia" w:ascii="宋体" w:hAnsi="宋体" w:eastAsia="宋体" w:cs="宋体"/>
                <w:sz w:val="19"/>
                <w:szCs w:val="19"/>
              </w:rPr>
              <w:t>其他</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（七）总计</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四、结转下年度继续办理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sz w:val="21"/>
                <w:szCs w:val="21"/>
              </w:rPr>
            </w:pPr>
            <w:r>
              <w:rPr>
                <w:rFonts w:hint="default" w:ascii="Calibri" w:hAnsi="Calibri" w:eastAsia="宋体" w:cs="Calibri"/>
                <w:sz w:val="21"/>
                <w:szCs w:val="21"/>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pPr>
            <w:r>
              <w:rPr>
                <w:rFonts w:hint="eastAsia" w:ascii="宋体" w:hAnsi="宋体" w:eastAsia="宋体" w:cs="宋体"/>
              </w:rPr>
              <w:t>0</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spacing w:val="0"/>
          <w:sz w:val="24"/>
          <w:szCs w:val="24"/>
        </w:rPr>
      </w:pPr>
      <w:r>
        <w:rPr>
          <w:rStyle w:val="9"/>
          <w:rFonts w:ascii="方正黑体简体" w:hAnsi="方正黑体简体" w:eastAsia="方正黑体简体" w:cs="方正黑体简体"/>
          <w:i w:val="0"/>
          <w:caps w:val="0"/>
          <w:color w:val="000000"/>
          <w:spacing w:val="0"/>
          <w:sz w:val="30"/>
          <w:szCs w:val="30"/>
          <w:shd w:val="clear" w:fill="FFFFFF"/>
        </w:rPr>
        <w:t>四、政府信息公开行政复议、行政诉讼情况</w:t>
      </w:r>
    </w:p>
    <w:tbl>
      <w:tblPr>
        <w:tblStyle w:val="7"/>
        <w:tblW w:w="907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8"/>
        <w:gridCol w:w="598"/>
        <w:gridCol w:w="598"/>
        <w:gridCol w:w="598"/>
        <w:gridCol w:w="672"/>
        <w:gridCol w:w="686"/>
        <w:gridCol w:w="686"/>
        <w:gridCol w:w="628"/>
        <w:gridCol w:w="598"/>
        <w:gridCol w:w="402"/>
        <w:gridCol w:w="672"/>
        <w:gridCol w:w="657"/>
        <w:gridCol w:w="657"/>
        <w:gridCol w:w="623"/>
        <w:gridCol w:w="4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064"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行政复议</w:t>
            </w:r>
          </w:p>
        </w:tc>
        <w:tc>
          <w:tcPr>
            <w:tcW w:w="6011"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598" w:type="dxa"/>
            <w:vMerge w:val="restart"/>
            <w:tcBorders>
              <w:top w:val="nil"/>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结果维持</w:t>
            </w:r>
          </w:p>
        </w:tc>
        <w:tc>
          <w:tcPr>
            <w:tcW w:w="598"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结果纠正</w:t>
            </w:r>
          </w:p>
        </w:tc>
        <w:tc>
          <w:tcPr>
            <w:tcW w:w="598"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其他结果</w:t>
            </w:r>
          </w:p>
        </w:tc>
        <w:tc>
          <w:tcPr>
            <w:tcW w:w="598"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尚未审结</w:t>
            </w:r>
          </w:p>
        </w:tc>
        <w:tc>
          <w:tcPr>
            <w:tcW w:w="672"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计</w:t>
            </w:r>
          </w:p>
        </w:tc>
        <w:tc>
          <w:tcPr>
            <w:tcW w:w="300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未经复议直接起诉</w:t>
            </w:r>
          </w:p>
        </w:tc>
        <w:tc>
          <w:tcPr>
            <w:tcW w:w="301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598" w:type="dxa"/>
            <w:vMerge w:val="continue"/>
            <w:tcBorders>
              <w:top w:val="nil"/>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598"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598"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598"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672"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szCs w:val="24"/>
              </w:rPr>
            </w:pP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结果维持</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结果纠正</w:t>
            </w:r>
          </w:p>
        </w:tc>
        <w:tc>
          <w:tcPr>
            <w:tcW w:w="6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其他结果</w:t>
            </w:r>
          </w:p>
        </w:tc>
        <w:tc>
          <w:tcPr>
            <w:tcW w:w="59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尚未审结</w:t>
            </w:r>
          </w:p>
        </w:tc>
        <w:tc>
          <w:tcPr>
            <w:tcW w:w="4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总计</w:t>
            </w:r>
          </w:p>
        </w:tc>
        <w:tc>
          <w:tcPr>
            <w:tcW w:w="6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结果维持</w:t>
            </w:r>
          </w:p>
        </w:tc>
        <w:tc>
          <w:tcPr>
            <w:tcW w:w="6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结果纠正</w:t>
            </w:r>
          </w:p>
        </w:tc>
        <w:tc>
          <w:tcPr>
            <w:tcW w:w="6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其他结果</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尚未审结</w:t>
            </w:r>
          </w:p>
        </w:tc>
        <w:tc>
          <w:tcPr>
            <w:tcW w:w="4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PrEx>
        <w:trPr>
          <w:jc w:val="center"/>
        </w:trPr>
        <w:tc>
          <w:tcPr>
            <w:tcW w:w="5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0</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19"/>
                <w:szCs w:val="19"/>
              </w:rPr>
              <w:t>0</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6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6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pPr>
            <w:r>
              <w:rPr>
                <w:rFonts w:hint="eastAsia" w:ascii="宋体" w:hAnsi="宋体" w:eastAsia="宋体" w:cs="宋体"/>
                <w:sz w:val="21"/>
                <w:szCs w:val="21"/>
              </w:rPr>
              <w:t>0</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pPr>
            <w:r>
              <w:rPr>
                <w:rFonts w:hint="eastAsia" w:ascii="宋体" w:hAnsi="宋体" w:eastAsia="宋体" w:cs="宋体"/>
              </w:rPr>
              <w:t>0</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spacing w:val="0"/>
          <w:sz w:val="24"/>
          <w:szCs w:val="24"/>
        </w:rPr>
      </w:pPr>
      <w:r>
        <w:rPr>
          <w:rStyle w:val="9"/>
          <w:rFonts w:hint="eastAsia" w:ascii="黑体" w:hAnsi="宋体" w:eastAsia="黑体" w:cs="黑体"/>
          <w:i w:val="0"/>
          <w:caps w:val="0"/>
          <w:color w:val="000000"/>
          <w:spacing w:val="0"/>
          <w:sz w:val="31"/>
          <w:szCs w:val="31"/>
          <w:shd w:val="clear" w:fill="FFFFFF"/>
        </w:rPr>
        <w:t>五、存在的主要问题及改进情况</w:t>
      </w:r>
    </w:p>
    <w:p>
      <w:pPr>
        <w:pStyle w:val="3"/>
        <w:bidi w:val="0"/>
        <w:rPr>
          <w:rFonts w:hint="default"/>
          <w:lang w:val="en-US" w:eastAsia="zh-CN"/>
        </w:rPr>
      </w:pPr>
      <w:r>
        <w:rPr>
          <w:rFonts w:hint="eastAsia"/>
          <w:lang w:val="en-US" w:eastAsia="zh-CN"/>
        </w:rPr>
        <w:t>一、存在的问题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一是政务公开信息量少。2022年度，县教体局政府信息公开数量为276条，数量</w:t>
      </w:r>
      <w:r>
        <w:rPr>
          <w:rFonts w:hint="eastAsia" w:ascii="仿宋" w:hAnsi="仿宋" w:eastAsia="仿宋" w:cs="仿宋"/>
          <w:i w:val="0"/>
          <w:caps w:val="0"/>
          <w:color w:val="000000"/>
          <w:spacing w:val="0"/>
          <w:sz w:val="31"/>
          <w:szCs w:val="31"/>
          <w:shd w:val="clear" w:fill="FFFFFF"/>
          <w:lang w:val="en-US" w:eastAsia="zh-CN"/>
        </w:rPr>
        <w:t>较少</w:t>
      </w:r>
      <w:r>
        <w:rPr>
          <w:rFonts w:hint="eastAsia" w:ascii="仿宋" w:hAnsi="仿宋" w:eastAsia="仿宋" w:cs="仿宋"/>
          <w:i w:val="0"/>
          <w:caps w:val="0"/>
          <w:color w:val="000000"/>
          <w:spacing w:val="0"/>
          <w:sz w:val="31"/>
          <w:szCs w:val="31"/>
          <w:shd w:val="clear" w:fill="FFFFFF"/>
        </w:rPr>
        <w:t>；二是政务公开信息内容单一，人民群众关心的公共事务的决策依据类公开信息不多；三是没有专职政务公开工作的人员</w:t>
      </w:r>
      <w:r>
        <w:rPr>
          <w:rFonts w:hint="eastAsia" w:ascii="仿宋" w:hAnsi="仿宋" w:eastAsia="仿宋" w:cs="仿宋"/>
          <w:i w:val="0"/>
          <w:caps w:val="0"/>
          <w:color w:val="000000"/>
          <w:spacing w:val="0"/>
          <w:sz w:val="31"/>
          <w:szCs w:val="31"/>
          <w:shd w:val="clear" w:fill="FFFFFF"/>
          <w:lang w:eastAsia="zh-CN"/>
        </w:rPr>
        <w:t>，</w:t>
      </w:r>
      <w:r>
        <w:rPr>
          <w:rFonts w:hint="eastAsia" w:ascii="仿宋" w:hAnsi="仿宋" w:eastAsia="仿宋" w:cs="仿宋"/>
          <w:i w:val="0"/>
          <w:caps w:val="0"/>
          <w:color w:val="000000"/>
          <w:spacing w:val="0"/>
          <w:sz w:val="31"/>
          <w:szCs w:val="31"/>
          <w:shd w:val="clear" w:fill="FFFFFF"/>
        </w:rPr>
        <w:t>政务信息公开工作人员由办公室人员兼任，且从事政务公开工作的人员对政务公开的认识有待提高，对政务公开的相关政策存在领会不深、业务不精现象，业务能力需进一步加强；四是政务公开工作缺少一定的专业技术人才。随着互联网时代信息科学技术的快速发展，基层严重缺少熟悉现代化网络技术专业政务公开的技术人才，在提升政务公开工作人员的能力水平，实现政务公开人才的互联网技术、标准化管理模式；五是公民参与政务公开工作的意识淡薄</w:t>
      </w:r>
      <w:bookmarkStart w:id="0" w:name="_GoBack"/>
      <w:bookmarkEnd w:id="0"/>
      <w:r>
        <w:rPr>
          <w:rFonts w:hint="eastAsia" w:ascii="仿宋" w:hAnsi="仿宋" w:eastAsia="仿宋" w:cs="仿宋"/>
          <w:i w:val="0"/>
          <w:caps w:val="0"/>
          <w:color w:val="000000"/>
          <w:spacing w:val="0"/>
          <w:sz w:val="31"/>
          <w:szCs w:val="31"/>
          <w:shd w:val="clear" w:fill="FFFFFF"/>
        </w:rPr>
        <w:t>，网上互动不够。尽管政务公开也做了大量的宣传工作，但人民群众对政务公开的认识重视不够，对于非公开的内容界定不理解，对于依法申请公开的流程认识不到位。</w:t>
      </w:r>
    </w:p>
    <w:p>
      <w:pPr>
        <w:pStyle w:val="3"/>
        <w:bidi w:val="0"/>
        <w:rPr>
          <w:rFonts w:hint="default"/>
          <w:lang w:val="en-US" w:eastAsia="zh-CN"/>
        </w:rPr>
      </w:pPr>
      <w:r>
        <w:rPr>
          <w:rFonts w:hint="eastAsia"/>
          <w:lang w:val="en-US" w:eastAsia="zh-CN"/>
        </w:rPr>
        <w:t>二、下步措施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31"/>
          <w:szCs w:val="31"/>
          <w:shd w:val="clear" w:fill="FFFFFF"/>
        </w:rPr>
        <w:t>政府信息公开是一项长期工作，202</w:t>
      </w:r>
      <w:r>
        <w:rPr>
          <w:rFonts w:hint="eastAsia" w:ascii="仿宋" w:hAnsi="仿宋" w:eastAsia="仿宋" w:cs="仿宋"/>
          <w:i w:val="0"/>
          <w:caps w:val="0"/>
          <w:color w:val="000000"/>
          <w:spacing w:val="0"/>
          <w:sz w:val="31"/>
          <w:szCs w:val="31"/>
          <w:shd w:val="clear" w:fill="FFFFFF"/>
          <w:lang w:val="en-US" w:eastAsia="zh-CN"/>
        </w:rPr>
        <w:t>3</w:t>
      </w:r>
      <w:r>
        <w:rPr>
          <w:rFonts w:hint="eastAsia" w:ascii="仿宋" w:hAnsi="仿宋" w:eastAsia="仿宋" w:cs="仿宋"/>
          <w:i w:val="0"/>
          <w:caps w:val="0"/>
          <w:color w:val="000000"/>
          <w:spacing w:val="0"/>
          <w:sz w:val="31"/>
          <w:szCs w:val="31"/>
          <w:shd w:val="clear" w:fill="FFFFFF"/>
        </w:rPr>
        <w:t>年，我局将按照县委、县政府部署要求，加大力度，增添措施，持续推进政府信息公开工作水平不断提高。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一）进一步加强组织领导，明确推进政务公开的目标任务。要把政务公开工作作为经常性工作列入重要议事日程，从转变政府职能、执政为民、加强党的执政能力建设的高度认识并积极推进这一工作。把政务公开工作作为改善投资和社会环境，全面构建和谐社会的重要内容纳入年度目标任务加以考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二）加强宣传，提高人民群众参政议政水平，完善社会监督机制。要运用多种媒介加大政务公开的宣传力度，让广大人民群众熟悉政务公开，提高参政议政水平，进一步建立健全内外并举的监督制约、督办督察工作机制，将政务公开置于上级领导部门、社会各界、各新闻媒体的监督之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（三）加强培训教育，造就一支具有现代公共管理知识和理念的政务公开队伍。加强服务意识、专业技能教育，造就一批政务公开的专门人才。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四）提升公民意识，促进转变政务公开职能。树立服务、平等的沟通意识，充分认识群众对于新媒体政务公开的重要性，加大基层政府的职能转变，转变传统管理理念思想，真正转变到服务群众的理念上来，优化处理信息公关危机的能力，强化思想认识，时刻做好政务公开等信息公开危机公关备战状态。加大群众对政务公开的满意度测评和意见反馈频率，真正把服务理念贯穿始终，取计于民、用计于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spacing w:val="0"/>
          <w:sz w:val="24"/>
          <w:szCs w:val="24"/>
        </w:rPr>
      </w:pPr>
      <w:r>
        <w:rPr>
          <w:rStyle w:val="9"/>
          <w:rFonts w:hint="eastAsia" w:ascii="黑体" w:hAnsi="宋体" w:eastAsia="黑体" w:cs="黑体"/>
          <w:i w:val="0"/>
          <w:caps w:val="0"/>
          <w:color w:val="000000"/>
          <w:spacing w:val="0"/>
          <w:sz w:val="31"/>
          <w:szCs w:val="31"/>
          <w:shd w:val="clear" w:fill="FFFFFF"/>
        </w:rPr>
        <w:t>六、其他需要报告的事项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(一)依据《政府信息公开信息处理费管理办法》收取信息处理费的情况需在此专门报告；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本年度我局信息处理费收取金额为0。</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二</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1"/>
          <w:szCs w:val="31"/>
          <w:shd w:val="clear" w:fill="FFFFFF"/>
        </w:rPr>
        <w:t>本行政机关</w:t>
      </w:r>
      <w:r>
        <w:rPr>
          <w:rFonts w:hint="eastAsia" w:ascii="仿宋" w:hAnsi="仿宋" w:eastAsia="仿宋" w:cs="仿宋"/>
          <w:i w:val="0"/>
          <w:caps w:val="0"/>
          <w:color w:val="000000"/>
          <w:spacing w:val="0"/>
          <w:sz w:val="31"/>
          <w:szCs w:val="31"/>
          <w:shd w:val="clear" w:fill="FFFFFF"/>
          <w:lang w:val="en-US" w:eastAsia="zh-CN"/>
        </w:rPr>
        <w:t>本年度无</w:t>
      </w:r>
      <w:r>
        <w:rPr>
          <w:rFonts w:hint="eastAsia" w:ascii="仿宋" w:hAnsi="仿宋" w:eastAsia="仿宋" w:cs="仿宋"/>
          <w:i w:val="0"/>
          <w:caps w:val="0"/>
          <w:color w:val="000000"/>
          <w:spacing w:val="0"/>
          <w:sz w:val="31"/>
          <w:szCs w:val="31"/>
          <w:shd w:val="clear" w:fill="FFFFFF"/>
        </w:rPr>
        <w:t>落实上级年度政务公开工作要点情况</w:t>
      </w:r>
      <w:r>
        <w:rPr>
          <w:rFonts w:hint="eastAsia" w:ascii="仿宋" w:hAnsi="仿宋" w:eastAsia="仿宋" w:cs="仿宋"/>
          <w:i w:val="0"/>
          <w:caps w:val="0"/>
          <w:color w:val="000000"/>
          <w:spacing w:val="0"/>
          <w:sz w:val="31"/>
          <w:szCs w:val="31"/>
          <w:shd w:val="clear" w:fill="FFFFFF"/>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三</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1"/>
          <w:szCs w:val="31"/>
          <w:shd w:val="clear" w:fill="FFFFFF"/>
        </w:rPr>
        <w:t>本行政机关人大代表建议和政协提案办理结果公开情况</w:t>
      </w:r>
      <w:r>
        <w:rPr>
          <w:rFonts w:hint="eastAsia" w:ascii="仿宋" w:hAnsi="仿宋" w:eastAsia="仿宋" w:cs="仿宋"/>
          <w:i w:val="0"/>
          <w:caps w:val="0"/>
          <w:color w:val="000000"/>
          <w:spacing w:val="0"/>
          <w:sz w:val="31"/>
          <w:szCs w:val="31"/>
          <w:shd w:val="clear" w:fill="FFFFFF"/>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both"/>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2022年微山县教育和体育局共收到人大建议13条，政协提案34条，内容涉及农村及湖区教育优质均衡发展、职业教育发展、改善学校基础设施、增加城区学位和教师数量、举办体育运动赛事等。建议、提案办复后，领导小组严抓落实，认真检查各建议、提案意见、建议的落实情况，并把落实情况及时告知建议、提案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在县委、县政府的正确领导下，我局已按照人大建议政协提案办理的工作要求全部答复完毕，办复率100%，满意率100%，意见建议均被采纳。</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四</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1"/>
          <w:szCs w:val="31"/>
          <w:shd w:val="clear" w:fill="FFFFFF"/>
          <w:lang w:eastAsia="zh-CN"/>
        </w:rPr>
        <w:t>本行政机关</w:t>
      </w:r>
      <w:r>
        <w:rPr>
          <w:rFonts w:hint="eastAsia" w:ascii="仿宋" w:hAnsi="仿宋" w:eastAsia="仿宋" w:cs="仿宋"/>
          <w:i w:val="0"/>
          <w:caps w:val="0"/>
          <w:color w:val="000000"/>
          <w:spacing w:val="0"/>
          <w:sz w:val="31"/>
          <w:szCs w:val="31"/>
          <w:shd w:val="clear" w:fill="FFFFFF"/>
          <w:lang w:val="en-US" w:eastAsia="zh-CN"/>
        </w:rPr>
        <w:t>本</w:t>
      </w:r>
      <w:r>
        <w:rPr>
          <w:rFonts w:hint="eastAsia" w:ascii="仿宋" w:hAnsi="仿宋" w:eastAsia="仿宋" w:cs="仿宋"/>
          <w:i w:val="0"/>
          <w:caps w:val="0"/>
          <w:color w:val="000000"/>
          <w:spacing w:val="0"/>
          <w:sz w:val="31"/>
          <w:szCs w:val="31"/>
          <w:shd w:val="clear" w:fill="FFFFFF"/>
          <w:lang w:eastAsia="zh-CN"/>
        </w:rPr>
        <w:t>年度</w:t>
      </w:r>
      <w:r>
        <w:rPr>
          <w:rFonts w:hint="eastAsia" w:ascii="仿宋" w:hAnsi="仿宋" w:eastAsia="仿宋" w:cs="仿宋"/>
          <w:i w:val="0"/>
          <w:caps w:val="0"/>
          <w:color w:val="000000"/>
          <w:spacing w:val="0"/>
          <w:sz w:val="31"/>
          <w:szCs w:val="31"/>
          <w:shd w:val="clear" w:fill="FFFFFF"/>
          <w:lang w:val="en-US" w:eastAsia="zh-CN"/>
        </w:rPr>
        <w:t>无</w:t>
      </w:r>
      <w:r>
        <w:rPr>
          <w:rFonts w:hint="eastAsia" w:ascii="仿宋" w:hAnsi="仿宋" w:eastAsia="仿宋" w:cs="仿宋"/>
          <w:i w:val="0"/>
          <w:caps w:val="0"/>
          <w:color w:val="000000"/>
          <w:spacing w:val="0"/>
          <w:sz w:val="31"/>
          <w:szCs w:val="31"/>
          <w:shd w:val="clear" w:fill="FFFFFF"/>
          <w:lang w:eastAsia="zh-CN"/>
        </w:rPr>
        <w:t>政务公开工作创新。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五</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1"/>
          <w:szCs w:val="31"/>
          <w:shd w:val="clear" w:fill="FFFFFF"/>
          <w:lang w:eastAsia="zh-CN"/>
        </w:rPr>
        <w:t>本行政机关政府信息公开工作年度报告数据统计</w:t>
      </w:r>
      <w:r>
        <w:rPr>
          <w:rFonts w:hint="eastAsia" w:ascii="仿宋" w:hAnsi="仿宋" w:eastAsia="仿宋" w:cs="仿宋"/>
          <w:i w:val="0"/>
          <w:caps w:val="0"/>
          <w:color w:val="000000"/>
          <w:spacing w:val="0"/>
          <w:sz w:val="31"/>
          <w:szCs w:val="31"/>
          <w:shd w:val="clear" w:fill="FFFFFF"/>
          <w:lang w:val="en-US" w:eastAsia="zh-CN"/>
        </w:rPr>
        <w:t>无</w:t>
      </w:r>
      <w:r>
        <w:rPr>
          <w:rFonts w:hint="eastAsia" w:ascii="仿宋" w:hAnsi="仿宋" w:eastAsia="仿宋" w:cs="仿宋"/>
          <w:i w:val="0"/>
          <w:caps w:val="0"/>
          <w:color w:val="000000"/>
          <w:spacing w:val="0"/>
          <w:sz w:val="31"/>
          <w:szCs w:val="31"/>
          <w:shd w:val="clear" w:fill="FFFFFF"/>
          <w:lang w:eastAsia="zh-CN"/>
        </w:rPr>
        <w:t>需要说明的事项。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六</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1"/>
          <w:szCs w:val="31"/>
          <w:shd w:val="clear" w:fill="FFFFFF"/>
          <w:lang w:eastAsia="zh-CN"/>
        </w:rPr>
        <w:t>本行政机关</w:t>
      </w:r>
      <w:r>
        <w:rPr>
          <w:rFonts w:hint="eastAsia" w:ascii="仿宋" w:hAnsi="仿宋" w:eastAsia="仿宋" w:cs="仿宋"/>
          <w:i w:val="0"/>
          <w:caps w:val="0"/>
          <w:color w:val="000000"/>
          <w:spacing w:val="0"/>
          <w:sz w:val="31"/>
          <w:szCs w:val="31"/>
          <w:shd w:val="clear" w:fill="FFFFFF"/>
          <w:lang w:val="en-US" w:eastAsia="zh-CN"/>
        </w:rPr>
        <w:t>无</w:t>
      </w:r>
      <w:r>
        <w:rPr>
          <w:rFonts w:hint="eastAsia" w:ascii="仿宋" w:hAnsi="仿宋" w:eastAsia="仿宋" w:cs="仿宋"/>
          <w:i w:val="0"/>
          <w:caps w:val="0"/>
          <w:color w:val="000000"/>
          <w:spacing w:val="0"/>
          <w:sz w:val="31"/>
          <w:szCs w:val="31"/>
          <w:shd w:val="clear" w:fill="FFFFFF"/>
          <w:lang w:eastAsia="zh-CN"/>
        </w:rPr>
        <w:t>认为需要报告的其他事项。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000000"/>
          <w:spacing w:val="0"/>
          <w:sz w:val="31"/>
          <w:szCs w:val="31"/>
          <w:shd w:val="clear" w:fill="FFFFFF"/>
          <w:lang w:eastAsia="zh-CN"/>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七</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1"/>
          <w:szCs w:val="31"/>
          <w:shd w:val="clear" w:fill="FFFFFF"/>
          <w:lang w:val="en-US" w:eastAsia="zh-CN"/>
        </w:rPr>
        <w:t>无</w:t>
      </w:r>
      <w:r>
        <w:rPr>
          <w:rFonts w:hint="eastAsia" w:ascii="仿宋" w:hAnsi="仿宋" w:eastAsia="仿宋" w:cs="仿宋"/>
          <w:i w:val="0"/>
          <w:caps w:val="0"/>
          <w:color w:val="000000"/>
          <w:spacing w:val="0"/>
          <w:sz w:val="31"/>
          <w:szCs w:val="31"/>
          <w:shd w:val="clear" w:fill="FFFFFF"/>
          <w:lang w:eastAsia="zh-CN"/>
        </w:rPr>
        <w:t>其他有关文件专门要求通过政府信息公开工作年度报告予以报告的事项。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1"/>
          <w:szCs w:val="31"/>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1"/>
          <w:szCs w:val="31"/>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048" w:firstLineChars="1306"/>
        <w:jc w:val="left"/>
        <w:textAlignment w:val="auto"/>
        <w:rPr>
          <w:rFonts w:hint="default"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微山县教育和体育局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358" w:firstLineChars="1406"/>
        <w:jc w:val="left"/>
        <w:textAlignment w:val="auto"/>
      </w:pPr>
      <w:r>
        <w:rPr>
          <w:rFonts w:hint="eastAsia" w:ascii="仿宋" w:hAnsi="仿宋" w:eastAsia="仿宋" w:cs="仿宋"/>
          <w:i w:val="0"/>
          <w:caps w:val="0"/>
          <w:color w:val="000000"/>
          <w:spacing w:val="0"/>
          <w:sz w:val="31"/>
          <w:szCs w:val="31"/>
          <w:shd w:val="clear" w:fill="FFFFFF"/>
        </w:rPr>
        <w:t>202</w:t>
      </w:r>
      <w:r>
        <w:rPr>
          <w:rFonts w:hint="eastAsia" w:ascii="仿宋" w:hAnsi="仿宋" w:eastAsia="仿宋" w:cs="仿宋"/>
          <w:i w:val="0"/>
          <w:caps w:val="0"/>
          <w:color w:val="000000"/>
          <w:spacing w:val="0"/>
          <w:sz w:val="31"/>
          <w:szCs w:val="31"/>
          <w:shd w:val="clear" w:fill="FFFFFF"/>
          <w:lang w:val="en-US" w:eastAsia="zh-CN"/>
        </w:rPr>
        <w:t>3</w:t>
      </w:r>
      <w:r>
        <w:rPr>
          <w:rFonts w:hint="eastAsia" w:ascii="仿宋" w:hAnsi="仿宋" w:eastAsia="仿宋" w:cs="仿宋"/>
          <w:i w:val="0"/>
          <w:caps w:val="0"/>
          <w:color w:val="000000"/>
          <w:spacing w:val="0"/>
          <w:sz w:val="31"/>
          <w:szCs w:val="31"/>
          <w:shd w:val="clear" w:fill="FFFFFF"/>
        </w:rPr>
        <w:t>年1月</w:t>
      </w:r>
      <w:r>
        <w:rPr>
          <w:rFonts w:hint="eastAsia" w:ascii="仿宋" w:hAnsi="仿宋" w:eastAsia="仿宋" w:cs="仿宋"/>
          <w:i w:val="0"/>
          <w:caps w:val="0"/>
          <w:color w:val="000000"/>
          <w:spacing w:val="0"/>
          <w:sz w:val="31"/>
          <w:szCs w:val="31"/>
          <w:shd w:val="clear" w:fill="FFFFFF"/>
          <w:lang w:val="en-US" w:eastAsia="zh-CN"/>
        </w:rPr>
        <w:t>28</w:t>
      </w:r>
      <w:r>
        <w:rPr>
          <w:rFonts w:hint="eastAsia" w:ascii="仿宋" w:hAnsi="仿宋" w:eastAsia="仿宋" w:cs="仿宋"/>
          <w:i w:val="0"/>
          <w:caps w:val="0"/>
          <w:color w:val="000000"/>
          <w:spacing w:val="0"/>
          <w:sz w:val="31"/>
          <w:szCs w:val="31"/>
          <w:shd w:val="clear" w:fill="FFFFFF"/>
        </w:rPr>
        <w:t>日 </w:t>
      </w: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NWRlZjU5NTU1MGY3MzUyMmE0ZGM5NDU2YTY2NGQifQ=="/>
  </w:docVars>
  <w:rsids>
    <w:rsidRoot w:val="00000000"/>
    <w:rsid w:val="008953F8"/>
    <w:rsid w:val="021B2B71"/>
    <w:rsid w:val="024D0381"/>
    <w:rsid w:val="0C654F6B"/>
    <w:rsid w:val="0FC117A8"/>
    <w:rsid w:val="0FC17C8C"/>
    <w:rsid w:val="137F29D0"/>
    <w:rsid w:val="138F0BDD"/>
    <w:rsid w:val="1521412E"/>
    <w:rsid w:val="160E6673"/>
    <w:rsid w:val="17170179"/>
    <w:rsid w:val="2C7B06C4"/>
    <w:rsid w:val="2CB30491"/>
    <w:rsid w:val="2DFF2728"/>
    <w:rsid w:val="2EDF507D"/>
    <w:rsid w:val="318A49A8"/>
    <w:rsid w:val="323B7E47"/>
    <w:rsid w:val="32F67518"/>
    <w:rsid w:val="33457B1A"/>
    <w:rsid w:val="38641E47"/>
    <w:rsid w:val="39E23F5A"/>
    <w:rsid w:val="3F67457A"/>
    <w:rsid w:val="419E7FFC"/>
    <w:rsid w:val="44A616A1"/>
    <w:rsid w:val="46696E2A"/>
    <w:rsid w:val="49C425C9"/>
    <w:rsid w:val="52246DE3"/>
    <w:rsid w:val="54E95886"/>
    <w:rsid w:val="561D26E7"/>
    <w:rsid w:val="562A14F8"/>
    <w:rsid w:val="594558D9"/>
    <w:rsid w:val="5C1C2D6A"/>
    <w:rsid w:val="5DE35E6A"/>
    <w:rsid w:val="5EC91E13"/>
    <w:rsid w:val="618C17C7"/>
    <w:rsid w:val="61B243B3"/>
    <w:rsid w:val="6C3D64DF"/>
    <w:rsid w:val="6C8612C2"/>
    <w:rsid w:val="6D026863"/>
    <w:rsid w:val="6D9A2F35"/>
    <w:rsid w:val="704F63CF"/>
    <w:rsid w:val="70F90913"/>
    <w:rsid w:val="735008A6"/>
    <w:rsid w:val="76756F9F"/>
    <w:rsid w:val="77454EFE"/>
    <w:rsid w:val="77DA08BE"/>
    <w:rsid w:val="7BB045D8"/>
    <w:rsid w:val="7D5B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1044" w:firstLineChars="200"/>
      <w:jc w:val="both"/>
      <w:outlineLvl w:val="1"/>
    </w:pPr>
    <w:rPr>
      <w:rFonts w:ascii="Arial" w:hAnsi="Arial" w:eastAsia="黑体"/>
      <w:b/>
      <w:sz w:val="32"/>
    </w:rPr>
  </w:style>
  <w:style w:type="paragraph" w:styleId="3">
    <w:name w:val="heading 3"/>
    <w:basedOn w:val="1"/>
    <w:next w:val="1"/>
    <w:unhideWhenUsed/>
    <w:qFormat/>
    <w:uiPriority w:val="0"/>
    <w:pPr>
      <w:keepNext/>
      <w:keepLines/>
      <w:snapToGrid w:val="0"/>
      <w:spacing w:beforeLines="0" w:beforeAutospacing="0" w:afterLines="0" w:afterAutospacing="0" w:line="560" w:lineRule="exact"/>
      <w:ind w:firstLine="1044" w:firstLineChars="200"/>
      <w:outlineLvl w:val="2"/>
    </w:pPr>
    <w:rPr>
      <w:rFonts w:eastAsia="楷体" w:asciiTheme="minorAscii" w:hAnsiTheme="minorAscii"/>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2022年度县教体局政务公开信息</c:v>
                </c:pt>
              </c:strCache>
            </c:strRef>
          </c:tx>
          <c:spPr/>
          <c:explosion val="0"/>
          <c:dPt>
            <c:idx val="0"/>
            <c:bubble3D val="0"/>
            <c:spPr>
              <a:solidFill>
                <a:schemeClr val="accent1"/>
              </a:solidFill>
              <a:ln w="19050">
                <a:solidFill>
                  <a:schemeClr val="lt1"/>
                </a:solidFill>
              </a:ln>
              <a:effectLst/>
            </c:spPr>
          </c:dPt>
          <c:dPt>
            <c:idx val="1"/>
            <c:bubble3D val="0"/>
            <c:spPr>
              <a:solidFill>
                <a:srgbClr val="92D050"/>
              </a:solidFill>
              <a:ln w="19050">
                <a:solidFill>
                  <a:schemeClr val="lt1"/>
                </a:solidFill>
              </a:ln>
              <a:effectLst/>
            </c:spPr>
          </c:dPt>
          <c:dLbls>
            <c:delete val="1"/>
          </c:dLbls>
          <c:cat>
            <c:strRef>
              <c:f>Sheet1!$A$2:$A$3</c:f>
              <c:strCache>
                <c:ptCount val="2"/>
                <c:pt idx="0">
                  <c:v>政务网站主动公开</c:v>
                </c:pt>
                <c:pt idx="1">
                  <c:v>微信公众号公开</c:v>
                </c:pt>
              </c:strCache>
            </c:strRef>
          </c:cat>
          <c:val>
            <c:numRef>
              <c:f>Sheet1!$B$2:$B$3</c:f>
              <c:numCache>
                <c:formatCode>General</c:formatCode>
                <c:ptCount val="2"/>
                <c:pt idx="0">
                  <c:v>202</c:v>
                </c:pt>
                <c:pt idx="1">
                  <c:v>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3307</Words>
  <Characters>3413</Characters>
  <Lines>0</Lines>
  <Paragraphs>0</Paragraphs>
  <TotalTime>11</TotalTime>
  <ScaleCrop>false</ScaleCrop>
  <LinksUpToDate>false</LinksUpToDate>
  <CharactersWithSpaces>3418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2025-03-25T07:58:22Z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43CB6EFDF46142228F43F697BA8623EF</vt:lpwstr>
  </property>
</Properties>
</file>