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bCs/>
          <w:i w:val="0"/>
          <w:iCs w:val="0"/>
          <w:caps w:val="0"/>
          <w:color w:val="auto"/>
          <w:spacing w:val="0"/>
          <w:sz w:val="44"/>
          <w:szCs w:val="44"/>
        </w:rPr>
      </w:pPr>
      <w:r>
        <w:rPr>
          <w:rFonts w:hint="eastAsia" w:ascii="方正小标宋简体" w:hAnsi="方正小标宋简体" w:eastAsia="方正小标宋简体" w:cs="方正小标宋简体"/>
          <w:b/>
          <w:bCs/>
          <w:i w:val="0"/>
          <w:iCs w:val="0"/>
          <w:caps w:val="0"/>
          <w:color w:val="auto"/>
          <w:spacing w:val="0"/>
          <w:sz w:val="44"/>
          <w:szCs w:val="44"/>
        </w:rPr>
        <w:t>微山县金融服务中心</w:t>
      </w:r>
    </w:p>
    <w:p>
      <w:pPr>
        <w:spacing w:line="600" w:lineRule="exact"/>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i w:val="0"/>
          <w:iCs w:val="0"/>
          <w:caps w:val="0"/>
          <w:color w:val="auto"/>
          <w:spacing w:val="0"/>
          <w:sz w:val="44"/>
          <w:szCs w:val="44"/>
          <w:lang w:val="en-US" w:eastAsia="zh-CN"/>
        </w:rPr>
        <w:t>2023</w:t>
      </w:r>
      <w:r>
        <w:rPr>
          <w:rFonts w:hint="eastAsia" w:ascii="方正小标宋简体" w:hAnsi="方正小标宋简体" w:eastAsia="方正小标宋简体" w:cs="方正小标宋简体"/>
          <w:b/>
          <w:bCs/>
          <w:i w:val="0"/>
          <w:iCs w:val="0"/>
          <w:caps w:val="0"/>
          <w:color w:val="auto"/>
          <w:spacing w:val="0"/>
          <w:sz w:val="44"/>
          <w:szCs w:val="44"/>
        </w:rPr>
        <w:t>年政府信息公开工作年度报告</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本年度报告根据《中华人民共和国政府信息公开条例》（国务院令第711号，以下简称《条例》）和《国务院办公厅政府信息与政务公开办公室关于印发〈中华人民共和国政府信息公开工作年度报告格式〉的通知》（国办公开办函〔2021〕30号）要求编制。</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除特别说明的外，本报告所列数据的统计期限为2023年1月1日至2023年12月31日。本报告电子版可在微山县政府门户网站（/）查阅或下载。公众如需进一步咨询了解相关信息，请与微山县</w:t>
      </w:r>
      <w:r>
        <w:rPr>
          <w:rFonts w:hint="eastAsia" w:ascii="仿宋_GB2312" w:eastAsia="仿宋_GB2312"/>
          <w:b/>
          <w:bCs/>
          <w:sz w:val="32"/>
          <w:szCs w:val="32"/>
          <w:lang w:eastAsia="zh-CN"/>
        </w:rPr>
        <w:t>金融服务中心</w:t>
      </w:r>
      <w:r>
        <w:rPr>
          <w:rFonts w:hint="eastAsia" w:ascii="仿宋_GB2312" w:eastAsia="仿宋_GB2312"/>
          <w:b/>
          <w:bCs/>
          <w:sz w:val="32"/>
          <w:szCs w:val="32"/>
        </w:rPr>
        <w:t>办公室联系（地址：</w:t>
      </w:r>
      <w:r>
        <w:rPr>
          <w:rFonts w:hint="eastAsia" w:ascii="仿宋_GB2312" w:eastAsia="仿宋_GB2312"/>
          <w:b/>
          <w:bCs/>
          <w:sz w:val="32"/>
          <w:szCs w:val="32"/>
          <w:lang w:eastAsia="zh-CN"/>
        </w:rPr>
        <w:t>微山县微山湖大道东风东路</w:t>
      </w:r>
      <w:r>
        <w:rPr>
          <w:rFonts w:hint="eastAsia" w:ascii="仿宋_GB2312" w:eastAsia="仿宋_GB2312"/>
          <w:b/>
          <w:bCs/>
          <w:sz w:val="32"/>
          <w:szCs w:val="32"/>
          <w:lang w:val="en-US" w:eastAsia="zh-CN"/>
        </w:rPr>
        <w:t>107号济宁银行4楼</w:t>
      </w:r>
      <w:r>
        <w:rPr>
          <w:rFonts w:hint="eastAsia" w:ascii="仿宋_GB2312" w:eastAsia="仿宋_GB2312"/>
          <w:b/>
          <w:bCs/>
          <w:sz w:val="32"/>
          <w:szCs w:val="32"/>
        </w:rPr>
        <w:t>，电话：0537—</w:t>
      </w:r>
      <w:r>
        <w:rPr>
          <w:rFonts w:hint="eastAsia" w:ascii="仿宋_GB2312" w:eastAsia="仿宋_GB2312"/>
          <w:b/>
          <w:bCs/>
          <w:sz w:val="32"/>
          <w:szCs w:val="32"/>
          <w:lang w:val="en-US" w:eastAsia="zh-CN"/>
        </w:rPr>
        <w:t>3783566</w:t>
      </w:r>
      <w:r>
        <w:rPr>
          <w:rFonts w:hint="eastAsia" w:ascii="仿宋_GB2312" w:eastAsia="仿宋_GB2312"/>
          <w:b/>
          <w:bCs/>
          <w:sz w:val="32"/>
          <w:szCs w:val="32"/>
        </w:rPr>
        <w:t>）。</w:t>
      </w:r>
    </w:p>
    <w:p>
      <w:p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一、总体情况</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2023年</w:t>
      </w:r>
      <w:r>
        <w:rPr>
          <w:rFonts w:hint="eastAsia" w:ascii="仿宋_GB2312" w:eastAsia="仿宋_GB2312"/>
          <w:b/>
          <w:bCs/>
          <w:sz w:val="32"/>
          <w:szCs w:val="32"/>
          <w:lang w:eastAsia="zh-CN"/>
        </w:rPr>
        <w:t>度</w:t>
      </w:r>
      <w:r>
        <w:rPr>
          <w:rFonts w:hint="eastAsia" w:ascii="仿宋_GB2312" w:eastAsia="仿宋_GB2312"/>
          <w:b/>
          <w:bCs/>
          <w:sz w:val="32"/>
          <w:szCs w:val="32"/>
        </w:rPr>
        <w:t>县金融服务中心政务信息公开工作在县委、县政府的领导下，严格贯彻落实《中华人民共和国政府信息公开条例》，强化政务信息公开工作保障，丰富公开内容，加强政策公开，严格落实政务公开的各项内容，充分发挥政务公开工作实效。</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（一）主动公开情况</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微山县金融服务中心全年累计主动公开政府信息</w:t>
      </w:r>
      <w:r>
        <w:rPr>
          <w:rFonts w:hint="eastAsia" w:ascii="仿宋_GB2312" w:eastAsia="仿宋_GB2312"/>
          <w:b/>
          <w:bCs/>
          <w:sz w:val="32"/>
          <w:szCs w:val="32"/>
          <w:lang w:val="en-US" w:eastAsia="zh-CN"/>
        </w:rPr>
        <w:t>185</w:t>
      </w:r>
      <w:r>
        <w:rPr>
          <w:rFonts w:hint="eastAsia" w:ascii="仿宋_GB2312" w:eastAsia="仿宋_GB2312"/>
          <w:b/>
          <w:bCs/>
          <w:sz w:val="32"/>
          <w:szCs w:val="32"/>
        </w:rPr>
        <w:t>条。</w:t>
      </w:r>
    </w:p>
    <w:p>
      <w:pPr>
        <w:spacing w:line="600" w:lineRule="exact"/>
        <w:rPr>
          <w:rFonts w:hint="eastAsia" w:ascii="仿宋_GB2312" w:eastAsia="仿宋_GB2312"/>
          <w:b/>
          <w:bCs/>
          <w:sz w:val="32"/>
          <w:szCs w:val="32"/>
        </w:rPr>
      </w:pPr>
      <w:r>
        <w:rPr>
          <w:b/>
          <w:bCs/>
        </w:rPr>
        <w:drawing>
          <wp:anchor distT="0" distB="0" distL="114300" distR="114300" simplePos="0" relativeHeight="251659264" behindDoc="1" locked="0" layoutInCell="1" allowOverlap="1">
            <wp:simplePos x="0" y="0"/>
            <wp:positionH relativeFrom="column">
              <wp:posOffset>-43180</wp:posOffset>
            </wp:positionH>
            <wp:positionV relativeFrom="paragraph">
              <wp:posOffset>356870</wp:posOffset>
            </wp:positionV>
            <wp:extent cx="5445125" cy="3399790"/>
            <wp:effectExtent l="4445" t="4445" r="17780" b="571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r>
        <w:rPr>
          <w:b/>
          <w:bCs/>
        </w:rPr>
        <w:drawing>
          <wp:anchor distT="0" distB="0" distL="114300" distR="114300" simplePos="0" relativeHeight="251660288" behindDoc="1" locked="0" layoutInCell="1" allowOverlap="1">
            <wp:simplePos x="0" y="0"/>
            <wp:positionH relativeFrom="column">
              <wp:posOffset>-98425</wp:posOffset>
            </wp:positionH>
            <wp:positionV relativeFrom="paragraph">
              <wp:posOffset>163195</wp:posOffset>
            </wp:positionV>
            <wp:extent cx="5485130" cy="4098925"/>
            <wp:effectExtent l="0" t="0" r="1270" b="158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85130" cy="4098925"/>
                    </a:xfrm>
                    <a:prstGeom prst="rect">
                      <a:avLst/>
                    </a:prstGeom>
                    <a:noFill/>
                    <a:ln>
                      <a:noFill/>
                    </a:ln>
                  </pic:spPr>
                </pic:pic>
              </a:graphicData>
            </a:graphic>
          </wp:anchor>
        </w:drawing>
      </w: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ind w:firstLine="420" w:firstLineChars="200"/>
        <w:rPr>
          <w:b/>
          <w:bCs/>
        </w:rPr>
      </w:pPr>
    </w:p>
    <w:p>
      <w:pPr>
        <w:spacing w:line="600" w:lineRule="exact"/>
        <w:rPr>
          <w:rFonts w:ascii="仿宋_GB2312" w:eastAsia="仿宋_GB2312"/>
          <w:b/>
          <w:bCs/>
          <w:sz w:val="32"/>
          <w:szCs w:val="32"/>
        </w:rPr>
      </w:pPr>
    </w:p>
    <w:p>
      <w:pPr>
        <w:spacing w:line="60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（二）依申请公开情况</w:t>
      </w:r>
    </w:p>
    <w:p>
      <w:pPr>
        <w:spacing w:line="600" w:lineRule="exact"/>
        <w:ind w:firstLine="643" w:firstLineChars="200"/>
        <w:rPr>
          <w:rFonts w:hint="eastAsia" w:ascii="楷体_GB2312" w:eastAsia="楷体_GB2312"/>
          <w:b/>
          <w:bCs/>
          <w:sz w:val="32"/>
          <w:szCs w:val="32"/>
        </w:rPr>
      </w:pPr>
      <w:r>
        <w:rPr>
          <w:rFonts w:hint="eastAsia" w:ascii="楷体_GB2312" w:eastAsia="楷体_GB2312"/>
          <w:b/>
          <w:bCs/>
          <w:sz w:val="32"/>
          <w:szCs w:val="32"/>
        </w:rPr>
        <w:t>2023年度，微山县金融服务中心收到政府信息公开申请信息0条。</w:t>
      </w:r>
    </w:p>
    <w:p>
      <w:pPr>
        <w:spacing w:line="60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（三）政府信息管理情况</w:t>
      </w:r>
    </w:p>
    <w:p>
      <w:pPr>
        <w:spacing w:line="600" w:lineRule="exact"/>
        <w:ind w:firstLine="643" w:firstLineChars="200"/>
        <w:rPr>
          <w:rFonts w:hint="eastAsia" w:ascii="楷体_GB2312" w:eastAsia="楷体_GB2312"/>
          <w:b/>
          <w:bCs/>
          <w:sz w:val="32"/>
          <w:szCs w:val="32"/>
        </w:rPr>
      </w:pPr>
      <w:r>
        <w:rPr>
          <w:rFonts w:hint="eastAsia" w:ascii="楷体_GB2312" w:eastAsia="楷体_GB2312"/>
          <w:b/>
          <w:bCs/>
          <w:sz w:val="32"/>
          <w:szCs w:val="32"/>
        </w:rPr>
        <w:t>加强金融领域政府信息公开工作组织领导，不断优化政府信息公开管理制度，严格按照政府信息公开指南、主动公开目录，通过政务公开网站，向社会公开本中心的基本信息、主要职责、</w:t>
      </w:r>
      <w:bookmarkStart w:id="10" w:name="_GoBack"/>
      <w:bookmarkEnd w:id="10"/>
      <w:r>
        <w:rPr>
          <w:rFonts w:hint="eastAsia" w:ascii="楷体_GB2312" w:eastAsia="楷体_GB2312"/>
          <w:b/>
          <w:bCs/>
          <w:sz w:val="32"/>
          <w:szCs w:val="32"/>
        </w:rPr>
        <w:t>领导信息、工作动态等情况。</w:t>
      </w:r>
    </w:p>
    <w:p>
      <w:pPr>
        <w:spacing w:line="600" w:lineRule="exact"/>
        <w:ind w:firstLine="643" w:firstLineChars="200"/>
        <w:rPr>
          <w:rFonts w:hint="eastAsia" w:ascii="楷体_GB2312" w:eastAsia="楷体_GB2312"/>
          <w:b/>
          <w:bCs/>
          <w:sz w:val="32"/>
          <w:szCs w:val="32"/>
        </w:rPr>
      </w:pPr>
      <w:r>
        <w:rPr>
          <w:rFonts w:hint="eastAsia" w:ascii="楷体_GB2312" w:eastAsia="楷体_GB2312"/>
          <w:b/>
          <w:bCs/>
          <w:sz w:val="32"/>
          <w:szCs w:val="32"/>
        </w:rPr>
        <w:t>（四）政府信息公开平台建设情况</w:t>
      </w:r>
    </w:p>
    <w:p>
      <w:pPr>
        <w:spacing w:line="600" w:lineRule="exact"/>
        <w:ind w:firstLine="643" w:firstLineChars="200"/>
        <w:rPr>
          <w:rFonts w:hint="eastAsia" w:ascii="楷体_GB2312" w:eastAsia="楷体_GB2312"/>
          <w:b/>
          <w:bCs/>
          <w:sz w:val="32"/>
          <w:szCs w:val="32"/>
        </w:rPr>
      </w:pPr>
      <w:r>
        <w:rPr>
          <w:rFonts w:hint="eastAsia" w:ascii="楷体_GB2312" w:eastAsia="楷体_GB2312"/>
          <w:b/>
          <w:bCs/>
          <w:sz w:val="32"/>
          <w:szCs w:val="32"/>
        </w:rPr>
        <w:t>准确区分界定主动公开、依申请公开和不予公开类型，强化政府网站公开主平台作用，主要通过微山县政府门户网站发布政府信息，动态更新金融惠企政策文件、中心部门动态等信息。</w:t>
      </w:r>
    </w:p>
    <w:p>
      <w:pPr>
        <w:spacing w:line="60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（五）监督保障情况</w:t>
      </w:r>
    </w:p>
    <w:p>
      <w:pPr>
        <w:spacing w:line="600" w:lineRule="exact"/>
        <w:ind w:firstLine="643" w:firstLineChars="200"/>
        <w:rPr>
          <w:rFonts w:hint="eastAsia" w:ascii="楷体_GB2312" w:eastAsia="楷体_GB2312"/>
          <w:b/>
          <w:bCs/>
          <w:sz w:val="32"/>
          <w:szCs w:val="32"/>
        </w:rPr>
      </w:pPr>
      <w:r>
        <w:rPr>
          <w:rFonts w:hint="eastAsia" w:ascii="楷体_GB2312" w:eastAsia="楷体_GB2312"/>
          <w:b/>
          <w:bCs/>
          <w:sz w:val="32"/>
          <w:szCs w:val="32"/>
        </w:rPr>
        <w:t>金融服务中心加强教育培训，政务公开业务人员通过业务调研、集中办公等方式</w:t>
      </w:r>
      <w:r>
        <w:rPr>
          <w:rFonts w:hint="eastAsia" w:ascii="楷体_GB2312" w:eastAsia="楷体_GB2312"/>
          <w:b/>
          <w:bCs/>
          <w:sz w:val="32"/>
          <w:szCs w:val="32"/>
          <w:lang w:eastAsia="zh-CN"/>
        </w:rPr>
        <w:t>进行</w:t>
      </w:r>
      <w:r>
        <w:rPr>
          <w:rFonts w:hint="eastAsia" w:ascii="楷体_GB2312" w:eastAsia="楷体_GB2312"/>
          <w:b/>
          <w:bCs/>
          <w:sz w:val="32"/>
          <w:szCs w:val="32"/>
        </w:rPr>
        <w:t>政务公开业务培训，切实提升公开意识与水平</w:t>
      </w:r>
      <w:r>
        <w:rPr>
          <w:rFonts w:hint="eastAsia" w:ascii="楷体_GB2312" w:eastAsia="楷体_GB2312"/>
          <w:b/>
          <w:bCs/>
          <w:sz w:val="32"/>
          <w:szCs w:val="32"/>
          <w:lang w:eastAsia="zh-CN"/>
        </w:rPr>
        <w:t>，</w:t>
      </w:r>
      <w:r>
        <w:rPr>
          <w:rFonts w:hint="eastAsia" w:ascii="楷体_GB2312" w:eastAsia="楷体_GB2312"/>
          <w:b/>
          <w:bCs/>
          <w:sz w:val="32"/>
          <w:szCs w:val="32"/>
        </w:rPr>
        <w:t>提升政务公开能力。根据微山县政府下发的《关于开展202</w:t>
      </w:r>
      <w:r>
        <w:rPr>
          <w:rFonts w:hint="eastAsia" w:ascii="楷体_GB2312" w:eastAsia="楷体_GB2312"/>
          <w:b/>
          <w:bCs/>
          <w:sz w:val="32"/>
          <w:szCs w:val="32"/>
          <w:lang w:val="en-US" w:eastAsia="zh-CN"/>
        </w:rPr>
        <w:t>3</w:t>
      </w:r>
      <w:r>
        <w:rPr>
          <w:rFonts w:hint="eastAsia" w:ascii="楷体_GB2312" w:eastAsia="楷体_GB2312"/>
          <w:b/>
          <w:bCs/>
          <w:sz w:val="32"/>
          <w:szCs w:val="32"/>
        </w:rPr>
        <w:t>年度全县政务公开工作评估考核的通知》将政府信息公开内容更加全面。</w:t>
      </w:r>
    </w:p>
    <w:p>
      <w:pPr>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w:t>
      </w:r>
      <w:r>
        <w:rPr>
          <w:rFonts w:hint="eastAsia" w:ascii="楷体_GB2312" w:eastAsia="楷体_GB2312"/>
          <w:b/>
          <w:bCs/>
          <w:sz w:val="32"/>
          <w:szCs w:val="32"/>
          <w:lang w:eastAsia="zh-CN"/>
        </w:rPr>
        <w:t>、</w:t>
      </w:r>
      <w:r>
        <w:rPr>
          <w:rFonts w:hint="eastAsia" w:ascii="楷体_GB2312" w:eastAsia="楷体_GB2312"/>
          <w:b/>
          <w:bCs/>
          <w:sz w:val="32"/>
          <w:szCs w:val="32"/>
        </w:rPr>
        <w:t>主动公开政府信息情况</w:t>
      </w:r>
    </w:p>
    <w:tbl>
      <w:tblPr>
        <w:tblStyle w:val="5"/>
        <w:tblW w:w="5000" w:type="pct"/>
        <w:tblInd w:w="0" w:type="dxa"/>
        <w:tblLayout w:type="autofit"/>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b/>
                <w:bCs/>
                <w:color w:val="000000"/>
                <w:kern w:val="0"/>
                <w:szCs w:val="21"/>
                <w:lang w:val="en-US" w:eastAsia="zh-CN"/>
              </w:rPr>
            </w:pPr>
            <w:r>
              <w:rPr>
                <w:rFonts w:hint="eastAsia" w:ascii="仿宋_GB2312" w:hAnsi="Calibri" w:eastAsia="仿宋_GB2312" w:cs="Calibri"/>
                <w:b/>
                <w:bCs/>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b/>
                <w:bCs/>
                <w:color w:val="000000"/>
                <w:kern w:val="0"/>
                <w:szCs w:val="21"/>
                <w:lang w:val="en-US" w:eastAsia="zh-CN"/>
              </w:rPr>
            </w:pPr>
            <w:r>
              <w:rPr>
                <w:rFonts w:hint="eastAsia" w:ascii="仿宋_GB2312" w:hAnsi="Calibri" w:eastAsia="仿宋_GB2312" w:cs="Calibri"/>
                <w:b/>
                <w:bCs/>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b/>
                <w:bCs/>
                <w:color w:val="000000"/>
                <w:kern w:val="0"/>
                <w:szCs w:val="21"/>
                <w:lang w:val="en-US" w:eastAsia="zh-CN"/>
              </w:rPr>
            </w:pPr>
            <w:r>
              <w:rPr>
                <w:rFonts w:hint="eastAsia" w:ascii="仿宋_GB2312" w:hAnsi="Calibri" w:eastAsia="仿宋_GB2312" w:cs="Calibri"/>
                <w:b/>
                <w:bCs/>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b/>
                <w:bCs/>
                <w:color w:val="000000"/>
                <w:kern w:val="0"/>
                <w:szCs w:val="21"/>
                <w:lang w:val="en-US" w:eastAsia="zh-CN"/>
              </w:rPr>
            </w:pPr>
            <w:r>
              <w:rPr>
                <w:rFonts w:hint="eastAsia" w:ascii="仿宋_GB2312" w:hAnsi="Calibri" w:eastAsia="仿宋_GB2312" w:cs="Calibri"/>
                <w:b/>
                <w:bCs/>
                <w:color w:val="000000"/>
                <w:kern w:val="0"/>
                <w:szCs w:val="21"/>
                <w:lang w:val="en-US" w:eastAsia="zh-CN"/>
              </w:rPr>
              <w:t>0</w:t>
            </w:r>
          </w:p>
        </w:tc>
      </w:tr>
    </w:tbl>
    <w:p>
      <w:pPr>
        <w:spacing w:line="600" w:lineRule="exact"/>
        <w:rPr>
          <w:rFonts w:ascii="楷体_GB2312" w:eastAsia="楷体_GB2312"/>
          <w:b/>
          <w:bCs/>
          <w:sz w:val="32"/>
          <w:szCs w:val="32"/>
        </w:rPr>
      </w:pPr>
      <w:r>
        <w:rPr>
          <w:rFonts w:hint="eastAsia" w:ascii="楷体_GB2312" w:eastAsia="楷体_GB2312"/>
          <w:b/>
          <w:bCs/>
          <w:sz w:val="32"/>
          <w:szCs w:val="32"/>
          <w:lang w:eastAsia="zh-CN"/>
        </w:rPr>
        <w:t>三、</w:t>
      </w:r>
      <w:r>
        <w:rPr>
          <w:rFonts w:hint="eastAsia" w:ascii="楷体_GB2312" w:eastAsia="楷体_GB2312"/>
          <w:b/>
          <w:bCs/>
          <w:sz w:val="32"/>
          <w:szCs w:val="32"/>
        </w:rPr>
        <w:t>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b/>
                <w:bCs/>
                <w:kern w:val="0"/>
                <w:szCs w:val="21"/>
              </w:rPr>
            </w:pPr>
            <w:r>
              <w:rPr>
                <w:rFonts w:hint="eastAsia" w:ascii="楷体_GB2312" w:hAnsi="黑体" w:eastAsia="楷体_GB2312"/>
                <w:b/>
                <w:bCs/>
                <w:kern w:val="0"/>
                <w:szCs w:val="21"/>
              </w:rPr>
              <w:t>（本列数据的勾稽关系为：第一项加第二项之和，</w:t>
            </w:r>
          </w:p>
          <w:p>
            <w:pPr>
              <w:widowControl/>
              <w:jc w:val="center"/>
              <w:rPr>
                <w:rFonts w:ascii="仿宋_GB2312" w:hAnsi="Times New Roman" w:eastAsia="仿宋_GB2312"/>
                <w:b/>
                <w:bCs/>
                <w:szCs w:val="21"/>
              </w:rPr>
            </w:pPr>
            <w:r>
              <w:rPr>
                <w:rFonts w:hint="eastAsia" w:ascii="楷体_GB2312" w:hAnsi="黑体" w:eastAsia="楷体_GB2312"/>
                <w:b/>
                <w:bCs/>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b/>
                <w:bCs/>
                <w:szCs w:val="21"/>
              </w:rPr>
            </w:pPr>
            <w:r>
              <w:rPr>
                <w:rFonts w:hint="eastAsia" w:ascii="黑体" w:hAnsi="黑体" w:eastAsia="黑体"/>
                <w:b/>
                <w:bCs/>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b/>
                <w:bCs/>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b/>
                <w:bCs/>
                <w:szCs w:val="21"/>
              </w:rPr>
            </w:pPr>
            <w:r>
              <w:rPr>
                <w:rFonts w:hint="eastAsia" w:ascii="黑体" w:hAnsi="黑体" w:eastAsia="黑体"/>
                <w:b/>
                <w:bCs/>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b/>
                <w:bCs/>
                <w:szCs w:val="21"/>
              </w:rPr>
            </w:pPr>
            <w:r>
              <w:rPr>
                <w:rFonts w:hint="eastAsia" w:ascii="黑体" w:hAnsi="黑体" w:eastAsia="黑体"/>
                <w:b/>
                <w:bCs/>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b/>
                <w:bCs/>
                <w:szCs w:val="21"/>
              </w:rPr>
            </w:pPr>
            <w:r>
              <w:rPr>
                <w:rFonts w:hint="eastAsia" w:ascii="黑体" w:hAnsi="黑体" w:eastAsia="黑体"/>
                <w:b/>
                <w:bCs/>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b/>
                <w:bCs/>
                <w:szCs w:val="21"/>
              </w:rPr>
            </w:pPr>
          </w:p>
        </w:tc>
        <w:tc>
          <w:tcPr>
            <w:tcW w:w="829" w:type="dxa"/>
            <w:vMerge w:val="continue"/>
            <w:shd w:val="clear" w:color="auto" w:fill="auto"/>
            <w:tcMar>
              <w:left w:w="108" w:type="dxa"/>
              <w:right w:w="108" w:type="dxa"/>
            </w:tcMar>
            <w:vAlign w:val="center"/>
          </w:tcPr>
          <w:p>
            <w:pPr>
              <w:jc w:val="center"/>
              <w:rPr>
                <w:rFonts w:ascii="黑体" w:hAnsi="黑体" w:eastAsia="黑体"/>
                <w:b/>
                <w:bCs/>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b/>
                <w:bCs/>
                <w:szCs w:val="21"/>
              </w:rPr>
            </w:pPr>
            <w:r>
              <w:rPr>
                <w:rFonts w:hint="eastAsia" w:ascii="黑体" w:hAnsi="黑体" w:eastAsia="黑体"/>
                <w:b/>
                <w:bCs/>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b/>
                <w:bCs/>
                <w:szCs w:val="21"/>
              </w:rPr>
            </w:pPr>
            <w:r>
              <w:rPr>
                <w:rFonts w:hint="eastAsia" w:ascii="黑体" w:hAnsi="黑体" w:eastAsia="黑体"/>
                <w:b/>
                <w:bCs/>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b/>
                <w:bCs/>
                <w:szCs w:val="21"/>
              </w:rPr>
            </w:pPr>
            <w:r>
              <w:rPr>
                <w:rFonts w:hint="eastAsia" w:ascii="黑体" w:hAnsi="黑体" w:eastAsia="黑体"/>
                <w:b/>
                <w:bCs/>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b/>
                <w:bCs/>
                <w:szCs w:val="21"/>
              </w:rPr>
            </w:pPr>
            <w:r>
              <w:rPr>
                <w:rFonts w:hint="eastAsia" w:ascii="黑体" w:hAnsi="黑体" w:eastAsia="黑体"/>
                <w:b/>
                <w:bCs/>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b/>
                <w:bCs/>
                <w:szCs w:val="21"/>
              </w:rPr>
            </w:pPr>
            <w:r>
              <w:rPr>
                <w:rFonts w:hint="eastAsia" w:ascii="黑体" w:hAnsi="黑体" w:eastAsia="黑体"/>
                <w:b/>
                <w:bCs/>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b/>
                <w:bCs/>
                <w:szCs w:val="21"/>
              </w:rPr>
            </w:pPr>
            <w:r>
              <w:rPr>
                <w:rFonts w:hint="eastAsia" w:ascii="黑体" w:hAnsi="黑体" w:eastAsia="黑体"/>
                <w:b/>
                <w:bCs/>
                <w:kern w:val="0"/>
                <w:szCs w:val="21"/>
              </w:rPr>
              <w:t>一、</w:t>
            </w:r>
            <w:bookmarkStart w:id="0" w:name="_Hlk66973412"/>
            <w:r>
              <w:rPr>
                <w:rFonts w:hint="eastAsia" w:ascii="黑体" w:hAnsi="黑体" w:eastAsia="黑体"/>
                <w:b/>
                <w:bCs/>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b/>
                <w:bCs/>
                <w:szCs w:val="21"/>
              </w:rPr>
            </w:pPr>
            <w:r>
              <w:rPr>
                <w:rFonts w:hint="eastAsia" w:ascii="黑体" w:hAnsi="黑体" w:eastAsia="黑体"/>
                <w:b/>
                <w:bCs/>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b/>
                <w:bCs/>
                <w:szCs w:val="21"/>
              </w:rPr>
            </w:pPr>
            <w:r>
              <w:rPr>
                <w:rFonts w:hint="eastAsia" w:ascii="黑体" w:hAnsi="黑体" w:eastAsia="黑体"/>
                <w:b/>
                <w:bCs/>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b/>
                <w:bCs/>
                <w:szCs w:val="21"/>
              </w:rPr>
            </w:pPr>
            <w:r>
              <w:rPr>
                <w:rFonts w:hint="eastAsia" w:ascii="黑体" w:hAnsi="黑体" w:eastAsia="黑体"/>
                <w:b/>
                <w:bCs/>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b/>
                <w:bCs/>
                <w:szCs w:val="21"/>
                <w:lang w:val="en-US" w:eastAsia="zh-CN"/>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4677" w:type="dxa"/>
            <w:gridSpan w:val="2"/>
            <w:shd w:val="clear" w:color="auto" w:fill="auto"/>
            <w:tcMar>
              <w:left w:w="108" w:type="dxa"/>
              <w:right w:w="108" w:type="dxa"/>
            </w:tcMar>
            <w:vAlign w:val="center"/>
          </w:tcPr>
          <w:p>
            <w:pPr>
              <w:widowControl/>
              <w:rPr>
                <w:rFonts w:ascii="黑体" w:hAnsi="黑体" w:eastAsia="黑体"/>
                <w:b/>
                <w:bCs/>
                <w:szCs w:val="21"/>
              </w:rPr>
            </w:pPr>
            <w:r>
              <w:rPr>
                <w:rFonts w:hint="eastAsia" w:ascii="黑体" w:hAnsi="黑体" w:eastAsia="黑体"/>
                <w:b/>
                <w:bCs/>
                <w:kern w:val="0"/>
                <w:szCs w:val="21"/>
              </w:rPr>
              <w:t>（二）部分公开（</w:t>
            </w:r>
            <w:bookmarkStart w:id="1" w:name="_Hlk66973981"/>
            <w:r>
              <w:rPr>
                <w:rFonts w:hint="eastAsia" w:ascii="黑体" w:hAnsi="黑体" w:eastAsia="黑体"/>
                <w:b/>
                <w:bCs/>
                <w:kern w:val="0"/>
                <w:szCs w:val="21"/>
              </w:rPr>
              <w:t>区分处理的，只计这一情形，不计其他情形</w:t>
            </w:r>
            <w:bookmarkEnd w:id="1"/>
            <w:r>
              <w:rPr>
                <w:rFonts w:hint="eastAsia" w:ascii="黑体" w:hAnsi="黑体" w:eastAsia="黑体"/>
                <w:b/>
                <w:bCs/>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b/>
                <w:bCs/>
                <w:szCs w:val="21"/>
              </w:rPr>
            </w:pPr>
            <w:r>
              <w:rPr>
                <w:rFonts w:hint="eastAsia" w:ascii="黑体" w:hAnsi="黑体" w:eastAsia="黑体"/>
                <w:b/>
                <w:bCs/>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2.</w:t>
            </w:r>
            <w:bookmarkStart w:id="2" w:name="_Hlk66974104"/>
            <w:r>
              <w:rPr>
                <w:rFonts w:hint="eastAsia" w:ascii="仿宋_GB2312" w:hAnsi="黑体" w:eastAsia="仿宋_GB2312"/>
                <w:b/>
                <w:bCs/>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4.</w:t>
            </w:r>
            <w:bookmarkStart w:id="3" w:name="_Hlk66974290"/>
            <w:r>
              <w:rPr>
                <w:rFonts w:hint="eastAsia" w:ascii="仿宋_GB2312" w:hAnsi="黑体" w:eastAsia="仿宋_GB2312"/>
                <w:b/>
                <w:bCs/>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6.</w:t>
            </w:r>
            <w:bookmarkStart w:id="4" w:name="_Hlk66974555"/>
            <w:r>
              <w:rPr>
                <w:rFonts w:hint="eastAsia" w:ascii="仿宋_GB2312" w:hAnsi="黑体" w:eastAsia="仿宋_GB2312"/>
                <w:b/>
                <w:bCs/>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8.</w:t>
            </w:r>
            <w:bookmarkStart w:id="5" w:name="_Hlk66975211"/>
            <w:r>
              <w:rPr>
                <w:rFonts w:hint="eastAsia" w:ascii="仿宋_GB2312" w:hAnsi="黑体" w:eastAsia="仿宋_GB2312"/>
                <w:b/>
                <w:bCs/>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b/>
                <w:bCs/>
                <w:szCs w:val="21"/>
              </w:rPr>
            </w:pPr>
            <w:r>
              <w:rPr>
                <w:rFonts w:hint="eastAsia" w:ascii="黑体" w:hAnsi="黑体" w:eastAsia="黑体"/>
                <w:b/>
                <w:bCs/>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2.</w:t>
            </w:r>
            <w:bookmarkStart w:id="6" w:name="_Hlk66975392"/>
            <w:r>
              <w:rPr>
                <w:rFonts w:hint="eastAsia" w:ascii="仿宋_GB2312" w:hAnsi="黑体" w:eastAsia="仿宋_GB2312"/>
                <w:b/>
                <w:bCs/>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3.</w:t>
            </w:r>
            <w:bookmarkStart w:id="7" w:name="_Hlk66975466"/>
            <w:r>
              <w:rPr>
                <w:rFonts w:hint="eastAsia" w:ascii="仿宋_GB2312" w:hAnsi="黑体" w:eastAsia="仿宋_GB2312"/>
                <w:b/>
                <w:bCs/>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b/>
                <w:bCs/>
                <w:szCs w:val="21"/>
              </w:rPr>
            </w:pPr>
            <w:r>
              <w:rPr>
                <w:rFonts w:hint="eastAsia" w:ascii="黑体" w:hAnsi="黑体" w:eastAsia="黑体"/>
                <w:b/>
                <w:bCs/>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1.</w:t>
            </w:r>
            <w:bookmarkStart w:id="8" w:name="_Hlk66975537"/>
            <w:r>
              <w:rPr>
                <w:rFonts w:hint="eastAsia" w:ascii="仿宋_GB2312" w:hAnsi="黑体" w:eastAsia="仿宋_GB2312"/>
                <w:b/>
                <w:bCs/>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kern w:val="0"/>
                <w:szCs w:val="21"/>
              </w:rPr>
            </w:pPr>
            <w:r>
              <w:rPr>
                <w:rFonts w:hint="eastAsia" w:ascii="仿宋_GB2312" w:hAnsi="黑体" w:eastAsia="仿宋_GB2312"/>
                <w:b/>
                <w:bCs/>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szCs w:val="21"/>
              </w:rPr>
            </w:pPr>
            <w:r>
              <w:rPr>
                <w:rFonts w:hint="eastAsia" w:ascii="仿宋_GB2312" w:hAnsi="黑体" w:eastAsia="仿宋_GB2312"/>
                <w:b/>
                <w:bCs/>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szCs w:val="21"/>
              </w:rPr>
            </w:pPr>
            <w:r>
              <w:rPr>
                <w:rFonts w:hint="eastAsia" w:ascii="仿宋_GB2312" w:hAnsi="黑体" w:eastAsia="仿宋_GB2312"/>
                <w:b/>
                <w:bCs/>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b/>
                <w:bCs/>
                <w:kern w:val="0"/>
                <w:szCs w:val="21"/>
              </w:rPr>
            </w:pPr>
            <w:r>
              <w:rPr>
                <w:rFonts w:hint="eastAsia" w:ascii="仿宋_GB2312" w:hAnsi="黑体" w:eastAsia="仿宋_GB2312"/>
                <w:b/>
                <w:bCs/>
                <w:kern w:val="0"/>
                <w:szCs w:val="21"/>
              </w:rPr>
              <w:t>5.要求行政机关确认或重新</w:t>
            </w:r>
          </w:p>
          <w:p>
            <w:pPr>
              <w:widowControl/>
              <w:spacing w:line="300" w:lineRule="exact"/>
              <w:ind w:firstLine="211" w:firstLineChars="100"/>
              <w:rPr>
                <w:rFonts w:ascii="仿宋_GB2312" w:hAnsi="黑体" w:eastAsia="仿宋_GB2312"/>
                <w:b/>
                <w:bCs/>
                <w:szCs w:val="21"/>
              </w:rPr>
            </w:pPr>
            <w:r>
              <w:rPr>
                <w:rFonts w:hint="eastAsia" w:ascii="仿宋_GB2312" w:hAnsi="黑体" w:eastAsia="仿宋_GB2312"/>
                <w:b/>
                <w:bCs/>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b/>
                <w:bCs/>
                <w:kern w:val="0"/>
                <w:szCs w:val="21"/>
              </w:rPr>
            </w:pPr>
            <w:r>
              <w:rPr>
                <w:rFonts w:hint="eastAsia" w:ascii="黑体" w:hAnsi="黑体" w:eastAsia="黑体"/>
                <w:b/>
                <w:bCs/>
                <w:kern w:val="0"/>
                <w:szCs w:val="21"/>
              </w:rPr>
              <w:t>（六）其他处理</w:t>
            </w:r>
          </w:p>
        </w:tc>
        <w:tc>
          <w:tcPr>
            <w:tcW w:w="2976" w:type="dxa"/>
            <w:shd w:val="clear" w:color="auto" w:fill="auto"/>
            <w:vAlign w:val="center"/>
          </w:tcPr>
          <w:p>
            <w:pPr>
              <w:widowControl/>
              <w:spacing w:line="300" w:lineRule="exact"/>
              <w:rPr>
                <w:rFonts w:ascii="仿宋_GB2312" w:hAnsi="楷体" w:eastAsia="仿宋_GB2312"/>
                <w:b/>
                <w:bCs/>
              </w:rPr>
            </w:pPr>
            <w:r>
              <w:rPr>
                <w:rFonts w:hint="eastAsia" w:ascii="仿宋_GB2312" w:hAnsi="楷体" w:eastAsia="仿宋_GB2312"/>
                <w:b/>
                <w:bCs/>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b/>
                <w:bCs/>
                <w:kern w:val="0"/>
                <w:szCs w:val="21"/>
              </w:rPr>
            </w:pPr>
          </w:p>
        </w:tc>
        <w:tc>
          <w:tcPr>
            <w:tcW w:w="2976" w:type="dxa"/>
            <w:shd w:val="clear" w:color="auto" w:fill="auto"/>
            <w:vAlign w:val="center"/>
          </w:tcPr>
          <w:p>
            <w:pPr>
              <w:widowControl/>
              <w:spacing w:line="300" w:lineRule="exact"/>
              <w:rPr>
                <w:rFonts w:ascii="仿宋_GB2312" w:hAnsi="黑体" w:eastAsia="仿宋_GB2312"/>
                <w:b/>
                <w:bCs/>
                <w:kern w:val="0"/>
                <w:szCs w:val="21"/>
              </w:rPr>
            </w:pPr>
            <w:r>
              <w:rPr>
                <w:rFonts w:hint="eastAsia" w:ascii="仿宋_GB2312" w:hAnsi="楷体" w:eastAsia="仿宋_GB2312"/>
                <w:b/>
                <w:bCs/>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b/>
                <w:bCs/>
                <w:kern w:val="0"/>
                <w:szCs w:val="21"/>
              </w:rPr>
            </w:pPr>
          </w:p>
        </w:tc>
        <w:tc>
          <w:tcPr>
            <w:tcW w:w="2976" w:type="dxa"/>
            <w:shd w:val="clear" w:color="auto" w:fill="auto"/>
            <w:vAlign w:val="center"/>
          </w:tcPr>
          <w:p>
            <w:pPr>
              <w:widowControl/>
              <w:spacing w:line="300" w:lineRule="exact"/>
              <w:rPr>
                <w:rFonts w:ascii="仿宋_GB2312" w:hAnsi="黑体" w:eastAsia="仿宋_GB2312"/>
                <w:b/>
                <w:bCs/>
                <w:kern w:val="0"/>
                <w:szCs w:val="21"/>
              </w:rPr>
            </w:pPr>
            <w:r>
              <w:rPr>
                <w:rFonts w:hint="eastAsia" w:ascii="仿宋_GB2312" w:hAnsi="楷体" w:eastAsia="仿宋_GB2312"/>
                <w:b/>
                <w:bCs/>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b/>
                <w:bCs/>
                <w:kern w:val="0"/>
                <w:szCs w:val="21"/>
              </w:rPr>
            </w:pPr>
            <w:r>
              <w:rPr>
                <w:rFonts w:hint="eastAsia" w:ascii="黑体" w:hAnsi="黑体" w:eastAsia="黑体"/>
                <w:b/>
                <w:bCs/>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b/>
                <w:bCs/>
                <w:kern w:val="0"/>
                <w:szCs w:val="21"/>
              </w:rPr>
            </w:pPr>
            <w:r>
              <w:rPr>
                <w:rFonts w:hint="eastAsia" w:ascii="黑体" w:hAnsi="黑体" w:eastAsia="黑体"/>
                <w:b/>
                <w:bCs/>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bl>
    <w:p>
      <w:pPr>
        <w:spacing w:line="600" w:lineRule="exact"/>
        <w:rPr>
          <w:rFonts w:ascii="楷体_GB2312" w:eastAsia="楷体_GB2312"/>
          <w:b/>
          <w:bCs/>
          <w:sz w:val="32"/>
          <w:szCs w:val="32"/>
        </w:rPr>
      </w:pPr>
      <w:r>
        <w:rPr>
          <w:rFonts w:hint="eastAsia" w:ascii="楷体_GB2312" w:eastAsia="楷体_GB2312"/>
          <w:b/>
          <w:bCs/>
          <w:sz w:val="32"/>
          <w:szCs w:val="32"/>
          <w:lang w:eastAsia="zh-CN"/>
        </w:rPr>
        <w:t>四、</w:t>
      </w:r>
      <w:r>
        <w:rPr>
          <w:rFonts w:hint="eastAsia" w:ascii="楷体_GB2312" w:eastAsia="楷体_GB2312"/>
          <w:b/>
          <w:bCs/>
          <w:sz w:val="32"/>
          <w:szCs w:val="32"/>
        </w:rPr>
        <w:t>政府信息公开行政复议、提起行政诉讼情况。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b/>
                <w:bCs/>
                <w:kern w:val="0"/>
                <w:sz w:val="20"/>
                <w:szCs w:val="20"/>
              </w:rPr>
            </w:pPr>
            <w:r>
              <w:rPr>
                <w:rFonts w:ascii="黑体" w:hAnsi="黑体" w:eastAsia="黑体"/>
                <w:b/>
                <w:bCs/>
                <w:kern w:val="0"/>
                <w:sz w:val="20"/>
                <w:szCs w:val="20"/>
              </w:rPr>
              <w:t>结果</w:t>
            </w:r>
          </w:p>
          <w:p>
            <w:pPr>
              <w:widowControl/>
              <w:ind w:left="-149" w:leftChars="-71" w:right="-170" w:rightChars="-81"/>
              <w:jc w:val="center"/>
              <w:rPr>
                <w:rFonts w:ascii="黑体" w:hAnsi="黑体" w:eastAsia="黑体"/>
                <w:b/>
                <w:bCs/>
              </w:rPr>
            </w:pPr>
            <w:r>
              <w:rPr>
                <w:rFonts w:ascii="黑体" w:hAnsi="黑体" w:eastAsia="黑体"/>
                <w:b/>
                <w:bCs/>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b/>
                <w:bCs/>
              </w:rPr>
            </w:pPr>
            <w:r>
              <w:rPr>
                <w:rFonts w:ascii="黑体" w:hAnsi="黑体" w:eastAsia="黑体"/>
                <w:b/>
                <w:bCs/>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b/>
                <w:bCs/>
              </w:rPr>
            </w:pPr>
            <w:r>
              <w:rPr>
                <w:rFonts w:ascii="黑体" w:hAnsi="黑体" w:eastAsia="黑体"/>
                <w:b/>
                <w:bCs/>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b/>
                <w:bCs/>
                <w:kern w:val="0"/>
                <w:sz w:val="20"/>
                <w:szCs w:val="20"/>
              </w:rPr>
            </w:pPr>
            <w:r>
              <w:rPr>
                <w:rFonts w:ascii="黑体" w:hAnsi="黑体" w:eastAsia="黑体"/>
                <w:b/>
                <w:bCs/>
                <w:kern w:val="0"/>
                <w:sz w:val="20"/>
                <w:szCs w:val="20"/>
              </w:rPr>
              <w:t>尚未</w:t>
            </w:r>
          </w:p>
          <w:p>
            <w:pPr>
              <w:widowControl/>
              <w:ind w:left="-118" w:leftChars="-56" w:right="-118" w:rightChars="-56"/>
              <w:jc w:val="center"/>
              <w:rPr>
                <w:rFonts w:ascii="黑体" w:hAnsi="黑体" w:eastAsia="黑体"/>
                <w:b/>
                <w:bCs/>
              </w:rPr>
            </w:pPr>
            <w:r>
              <w:rPr>
                <w:rFonts w:ascii="黑体" w:hAnsi="黑体" w:eastAsia="黑体"/>
                <w:b/>
                <w:bCs/>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b/>
                <w:bCs/>
                <w:kern w:val="0"/>
                <w:sz w:val="20"/>
                <w:szCs w:val="20"/>
              </w:rPr>
            </w:pPr>
            <w:r>
              <w:rPr>
                <w:rFonts w:ascii="黑体" w:hAnsi="黑体" w:eastAsia="黑体"/>
                <w:b/>
                <w:bCs/>
                <w:kern w:val="0"/>
                <w:sz w:val="20"/>
                <w:szCs w:val="20"/>
              </w:rPr>
              <w:t>总</w:t>
            </w:r>
          </w:p>
          <w:p>
            <w:pPr>
              <w:widowControl/>
              <w:spacing w:line="320" w:lineRule="exact"/>
              <w:jc w:val="center"/>
              <w:rPr>
                <w:rFonts w:ascii="黑体" w:hAnsi="黑体" w:eastAsia="黑体"/>
                <w:b/>
                <w:bCs/>
              </w:rPr>
            </w:pPr>
            <w:r>
              <w:rPr>
                <w:rFonts w:ascii="黑体" w:hAnsi="黑体" w:eastAsia="黑体"/>
                <w:b/>
                <w:bCs/>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bookmarkStart w:id="9" w:name="_Hlk67039688"/>
            <w:r>
              <w:rPr>
                <w:rFonts w:ascii="黑体" w:hAnsi="黑体" w:eastAsia="黑体"/>
                <w:b/>
                <w:bCs/>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b/>
                <w:bCs/>
              </w:rPr>
            </w:pPr>
            <w:r>
              <w:rPr>
                <w:rFonts w:ascii="黑体" w:hAnsi="黑体" w:eastAsia="黑体"/>
                <w:b/>
                <w:bCs/>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b/>
                <w:bCs/>
              </w:rPr>
            </w:pPr>
            <w:r>
              <w:rPr>
                <w:rFonts w:ascii="黑体" w:hAnsi="黑体" w:eastAsia="黑体"/>
                <w:b/>
                <w:bCs/>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b/>
                <w:bCs/>
                <w:kern w:val="0"/>
                <w:sz w:val="20"/>
                <w:szCs w:val="20"/>
              </w:rPr>
            </w:pPr>
            <w:r>
              <w:rPr>
                <w:rFonts w:ascii="黑体" w:hAnsi="黑体" w:eastAsia="黑体"/>
                <w:b/>
                <w:bCs/>
                <w:kern w:val="0"/>
                <w:sz w:val="20"/>
                <w:szCs w:val="20"/>
              </w:rPr>
              <w:t>其他</w:t>
            </w:r>
          </w:p>
          <w:p>
            <w:pPr>
              <w:widowControl/>
              <w:ind w:left="-126" w:leftChars="-60" w:right="-136" w:rightChars="-65"/>
              <w:jc w:val="center"/>
              <w:rPr>
                <w:rFonts w:ascii="黑体" w:hAnsi="黑体" w:eastAsia="黑体"/>
                <w:b/>
                <w:bCs/>
              </w:rPr>
            </w:pPr>
            <w:r>
              <w:rPr>
                <w:rFonts w:ascii="黑体" w:hAnsi="黑体" w:eastAsia="黑体"/>
                <w:b/>
                <w:bCs/>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b/>
                <w:bCs/>
                <w:kern w:val="0"/>
                <w:sz w:val="20"/>
                <w:szCs w:val="20"/>
              </w:rPr>
            </w:pPr>
            <w:r>
              <w:rPr>
                <w:rFonts w:ascii="黑体" w:hAnsi="黑体" w:eastAsia="黑体"/>
                <w:b/>
                <w:bCs/>
                <w:kern w:val="0"/>
                <w:sz w:val="20"/>
                <w:szCs w:val="20"/>
              </w:rPr>
              <w:t>尚未</w:t>
            </w:r>
          </w:p>
          <w:p>
            <w:pPr>
              <w:widowControl/>
              <w:ind w:left="-164" w:leftChars="-78" w:right="-153" w:rightChars="-73"/>
              <w:jc w:val="center"/>
              <w:rPr>
                <w:rFonts w:ascii="黑体" w:hAnsi="黑体" w:eastAsia="黑体"/>
                <w:b/>
                <w:bCs/>
              </w:rPr>
            </w:pPr>
            <w:r>
              <w:rPr>
                <w:rFonts w:ascii="黑体" w:hAnsi="黑体" w:eastAsia="黑体"/>
                <w:b/>
                <w:bCs/>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b/>
                <w:bCs/>
              </w:rPr>
            </w:pPr>
            <w:r>
              <w:rPr>
                <w:rFonts w:ascii="黑体" w:hAnsi="黑体" w:eastAsia="黑体"/>
                <w:b/>
                <w:bCs/>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b/>
                <w:bCs/>
                <w:kern w:val="0"/>
                <w:sz w:val="20"/>
                <w:szCs w:val="20"/>
              </w:rPr>
            </w:pPr>
            <w:r>
              <w:rPr>
                <w:rFonts w:ascii="黑体" w:hAnsi="黑体" w:eastAsia="黑体"/>
                <w:b/>
                <w:bCs/>
                <w:kern w:val="0"/>
                <w:sz w:val="20"/>
                <w:szCs w:val="20"/>
              </w:rPr>
              <w:t>结果</w:t>
            </w:r>
          </w:p>
          <w:p>
            <w:pPr>
              <w:widowControl/>
              <w:ind w:left="-136" w:leftChars="-65" w:right="-124" w:rightChars="-59"/>
              <w:jc w:val="center"/>
              <w:rPr>
                <w:rFonts w:ascii="黑体" w:hAnsi="黑体" w:eastAsia="黑体"/>
                <w:b/>
                <w:bCs/>
              </w:rPr>
            </w:pPr>
            <w:r>
              <w:rPr>
                <w:rFonts w:ascii="黑体" w:hAnsi="黑体" w:eastAsia="黑体"/>
                <w:b/>
                <w:bCs/>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b/>
                <w:bCs/>
                <w:kern w:val="0"/>
                <w:sz w:val="20"/>
                <w:szCs w:val="20"/>
              </w:rPr>
            </w:pPr>
            <w:r>
              <w:rPr>
                <w:rFonts w:ascii="黑体" w:hAnsi="黑体" w:eastAsia="黑体"/>
                <w:b/>
                <w:bCs/>
                <w:kern w:val="0"/>
                <w:sz w:val="20"/>
                <w:szCs w:val="20"/>
              </w:rPr>
              <w:t>其他</w:t>
            </w:r>
          </w:p>
          <w:p>
            <w:pPr>
              <w:widowControl/>
              <w:ind w:left="-173" w:leftChars="-83" w:right="-134" w:rightChars="-64" w:hanging="1"/>
              <w:jc w:val="center"/>
              <w:rPr>
                <w:rFonts w:ascii="黑体" w:hAnsi="黑体" w:eastAsia="黑体"/>
                <w:b/>
                <w:bCs/>
              </w:rPr>
            </w:pPr>
            <w:r>
              <w:rPr>
                <w:rFonts w:ascii="黑体" w:hAnsi="黑体" w:eastAsia="黑体"/>
                <w:b/>
                <w:bCs/>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b/>
                <w:bCs/>
              </w:rPr>
            </w:pPr>
            <w:r>
              <w:rPr>
                <w:rFonts w:ascii="黑体" w:hAnsi="黑体" w:eastAsia="黑体"/>
                <w:b/>
                <w:bCs/>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lang w:val="en-US" w:eastAsia="zh-CN"/>
              </w:rPr>
            </w:pPr>
            <w:r>
              <w:rPr>
                <w:rFonts w:hint="eastAsia" w:ascii="Times New Roman" w:hAnsi="Times New Roman"/>
                <w:b/>
                <w:bCs/>
                <w:lang w:val="en-US" w:eastAsia="zh-CN"/>
              </w:rPr>
              <w:t>0</w:t>
            </w:r>
          </w:p>
        </w:tc>
      </w:tr>
    </w:tbl>
    <w:p>
      <w:pPr>
        <w:spacing w:line="600" w:lineRule="exact"/>
        <w:rPr>
          <w:rFonts w:ascii="楷体_GB2312" w:eastAsia="楷体_GB2312"/>
          <w:b/>
          <w:bCs/>
          <w:sz w:val="32"/>
          <w:szCs w:val="32"/>
        </w:rPr>
      </w:pPr>
      <w:r>
        <w:rPr>
          <w:rFonts w:hint="eastAsia" w:ascii="楷体_GB2312" w:eastAsia="楷体_GB2312"/>
          <w:b/>
          <w:bCs/>
          <w:sz w:val="32"/>
          <w:szCs w:val="32"/>
          <w:lang w:eastAsia="zh-CN"/>
        </w:rPr>
        <w:t>五、</w:t>
      </w:r>
      <w:r>
        <w:rPr>
          <w:rFonts w:hint="eastAsia" w:ascii="楷体_GB2312" w:eastAsia="楷体_GB2312"/>
          <w:b/>
          <w:bCs/>
          <w:sz w:val="32"/>
          <w:szCs w:val="32"/>
        </w:rPr>
        <w:t>政府信息公开工作存在的主要问题及改进情况。</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202</w:t>
      </w:r>
      <w:r>
        <w:rPr>
          <w:rFonts w:hint="eastAsia" w:ascii="仿宋_GB2312" w:eastAsia="仿宋_GB2312"/>
          <w:b/>
          <w:bCs/>
          <w:sz w:val="32"/>
          <w:szCs w:val="32"/>
          <w:lang w:val="en-US" w:eastAsia="zh-CN"/>
        </w:rPr>
        <w:t>3</w:t>
      </w:r>
      <w:r>
        <w:rPr>
          <w:rFonts w:hint="eastAsia" w:ascii="仿宋_GB2312" w:eastAsia="仿宋_GB2312"/>
          <w:b/>
          <w:bCs/>
          <w:sz w:val="32"/>
          <w:szCs w:val="32"/>
        </w:rPr>
        <w:t>年，金融服务中心政务公开工作取得一定成效，</w:t>
      </w:r>
      <w:r>
        <w:rPr>
          <w:rFonts w:hint="eastAsia" w:ascii="仿宋_GB2312" w:eastAsia="仿宋_GB2312"/>
          <w:b/>
          <w:bCs/>
          <w:sz w:val="32"/>
          <w:szCs w:val="32"/>
          <w:lang w:eastAsia="zh-CN"/>
        </w:rPr>
        <w:t>尤其是在营商环境省、市政策文件公开上做到及时、专业，</w:t>
      </w:r>
      <w:r>
        <w:rPr>
          <w:rFonts w:hint="eastAsia" w:ascii="仿宋_GB2312" w:eastAsia="仿宋_GB2312"/>
          <w:b/>
          <w:bCs/>
          <w:sz w:val="32"/>
          <w:szCs w:val="32"/>
        </w:rPr>
        <w:t>政策文件解读力度</w:t>
      </w:r>
      <w:r>
        <w:rPr>
          <w:rFonts w:hint="eastAsia" w:ascii="仿宋_GB2312" w:eastAsia="仿宋_GB2312"/>
          <w:b/>
          <w:bCs/>
          <w:sz w:val="32"/>
          <w:szCs w:val="32"/>
          <w:lang w:eastAsia="zh-CN"/>
        </w:rPr>
        <w:t>加大，</w:t>
      </w:r>
      <w:r>
        <w:rPr>
          <w:rFonts w:hint="eastAsia" w:ascii="仿宋_GB2312" w:eastAsia="仿宋_GB2312"/>
          <w:b/>
          <w:bCs/>
          <w:sz w:val="32"/>
          <w:szCs w:val="32"/>
        </w:rPr>
        <w:t>但仍存在</w:t>
      </w:r>
      <w:r>
        <w:rPr>
          <w:rFonts w:hint="eastAsia" w:ascii="仿宋_GB2312" w:eastAsia="仿宋_GB2312"/>
          <w:b/>
          <w:bCs/>
          <w:sz w:val="32"/>
          <w:szCs w:val="32"/>
          <w:lang w:eastAsia="zh-CN"/>
        </w:rPr>
        <w:t>一定的不足主要表现在：</w:t>
      </w:r>
      <w:r>
        <w:rPr>
          <w:rFonts w:hint="eastAsia" w:ascii="仿宋_GB2312" w:eastAsia="仿宋_GB2312"/>
          <w:b/>
          <w:bCs/>
          <w:sz w:val="32"/>
          <w:szCs w:val="32"/>
        </w:rPr>
        <w:t>部分</w:t>
      </w:r>
      <w:r>
        <w:rPr>
          <w:rFonts w:hint="eastAsia" w:ascii="仿宋_GB2312" w:eastAsia="仿宋_GB2312"/>
          <w:b/>
          <w:bCs/>
          <w:sz w:val="32"/>
          <w:szCs w:val="32"/>
          <w:lang w:eastAsia="zh-CN"/>
        </w:rPr>
        <w:t>中心动态</w:t>
      </w:r>
      <w:r>
        <w:rPr>
          <w:rFonts w:hint="eastAsia" w:ascii="仿宋_GB2312" w:eastAsia="仿宋_GB2312"/>
          <w:b/>
          <w:bCs/>
          <w:sz w:val="32"/>
          <w:szCs w:val="32"/>
        </w:rPr>
        <w:t>公布不够及时，更新较慢。</w:t>
      </w:r>
      <w:r>
        <w:rPr>
          <w:rFonts w:hint="eastAsia" w:ascii="仿宋_GB2312" w:eastAsia="仿宋_GB2312"/>
          <w:b/>
          <w:bCs/>
          <w:sz w:val="32"/>
          <w:szCs w:val="32"/>
          <w:lang w:eastAsia="zh-CN"/>
        </w:rPr>
        <w:t>公开形式缺乏创新性，</w:t>
      </w:r>
      <w:r>
        <w:rPr>
          <w:rFonts w:hint="eastAsia" w:ascii="仿宋_GB2312" w:eastAsia="仿宋_GB2312"/>
          <w:b/>
          <w:bCs/>
          <w:sz w:val="32"/>
          <w:szCs w:val="32"/>
        </w:rPr>
        <w:t>规范性有待完善。</w:t>
      </w:r>
    </w:p>
    <w:p>
      <w:pPr>
        <w:spacing w:line="600" w:lineRule="exact"/>
        <w:ind w:firstLine="643" w:firstLineChars="200"/>
        <w:rPr>
          <w:rFonts w:ascii="楷体_GB2312" w:eastAsia="楷体_GB2312"/>
          <w:b/>
          <w:bCs/>
          <w:sz w:val="32"/>
          <w:szCs w:val="32"/>
        </w:rPr>
      </w:pPr>
      <w:r>
        <w:rPr>
          <w:rFonts w:hint="eastAsia" w:ascii="仿宋_GB2312" w:eastAsia="仿宋_GB2312"/>
          <w:b/>
          <w:bCs/>
          <w:sz w:val="32"/>
          <w:szCs w:val="32"/>
        </w:rPr>
        <w:t>针对以上问题，县金融服务中心将进一步做好各项动态信息的分类，及时和多元化更新，增强政府信息公开工作人员的业务能力水平</w:t>
      </w:r>
      <w:r>
        <w:rPr>
          <w:rFonts w:hint="eastAsia" w:ascii="仿宋_GB2312" w:eastAsia="仿宋_GB2312"/>
          <w:b/>
          <w:bCs/>
          <w:sz w:val="32"/>
          <w:szCs w:val="32"/>
          <w:lang w:eastAsia="zh-CN"/>
        </w:rPr>
        <w:t>，增强公开规范性</w:t>
      </w:r>
      <w:r>
        <w:rPr>
          <w:rFonts w:hint="eastAsia" w:ascii="仿宋_GB2312" w:eastAsia="仿宋_GB2312"/>
          <w:b/>
          <w:bCs/>
          <w:sz w:val="32"/>
          <w:szCs w:val="32"/>
        </w:rPr>
        <w:t>。</w:t>
      </w:r>
    </w:p>
    <w:p>
      <w:pPr>
        <w:spacing w:line="600" w:lineRule="exact"/>
        <w:rPr>
          <w:rFonts w:hint="eastAsia" w:ascii="楷体_GB2312" w:eastAsia="楷体_GB2312"/>
          <w:b/>
          <w:bCs/>
          <w:sz w:val="32"/>
          <w:szCs w:val="32"/>
          <w:lang w:eastAsia="zh-CN"/>
        </w:rPr>
      </w:pPr>
      <w:r>
        <w:rPr>
          <w:rFonts w:hint="eastAsia" w:ascii="楷体_GB2312" w:eastAsia="楷体_GB2312"/>
          <w:b/>
          <w:bCs/>
          <w:sz w:val="32"/>
          <w:szCs w:val="32"/>
          <w:lang w:eastAsia="zh-CN"/>
        </w:rPr>
        <w:t>六、其他需要报告的事项</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（一）依据《政府信息公开信息处理费管理办法》收取信息处理费的情况：</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2023年微山县金融服务中心无依据《政府信息公开信息处理费管理办法》收取信息处理费的情况</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（二）本行政机关落实上级年度政务公开工作要点情况：</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加强金融、营商环境惠企政策等内容的信息公开，针对获得信贷、保护中小投资者等上级扶持政策进行政务公开，确保群众知情权和政策知晓度</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（三）人大代表建议和政协提案办理结果公开情况：</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202</w:t>
      </w: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年微山县金融服务中心共收到人大建议</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条，政协提案</w:t>
      </w: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条，所有提案均在规定期限内办理回复完毕，办付率100%，满意和基本满意率100%。</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（四）本行政机关年度政务公开工作创新情况：</w:t>
      </w:r>
    </w:p>
    <w:p>
      <w:pPr>
        <w:spacing w:line="60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无。</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（五）本行政机关政府信息公开工作年度报告数据统计需要说明的事项</w:t>
      </w:r>
    </w:p>
    <w:p>
      <w:pPr>
        <w:spacing w:line="60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无。</w:t>
      </w:r>
    </w:p>
    <w:p>
      <w:pPr>
        <w:numPr>
          <w:ilvl w:val="0"/>
          <w:numId w:val="1"/>
        </w:num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本行政机关认为需要报告的其他事项</w:t>
      </w:r>
    </w:p>
    <w:p>
      <w:pPr>
        <w:numPr>
          <w:ilvl w:val="0"/>
          <w:numId w:val="0"/>
        </w:numPr>
        <w:spacing w:line="600" w:lineRule="exact"/>
        <w:rPr>
          <w:rFonts w:hint="eastAsia" w:ascii="仿宋_GB2312" w:eastAsia="仿宋_GB2312"/>
          <w:b/>
          <w:bCs/>
          <w:sz w:val="32"/>
          <w:szCs w:val="32"/>
          <w:lang w:eastAsia="zh-CN"/>
        </w:rPr>
      </w:pPr>
      <w:r>
        <w:rPr>
          <w:rFonts w:hint="eastAsia" w:ascii="仿宋_GB2312" w:eastAsia="仿宋_GB2312"/>
          <w:b/>
          <w:bCs/>
          <w:sz w:val="32"/>
          <w:szCs w:val="32"/>
          <w:lang w:eastAsia="zh-CN"/>
        </w:rPr>
        <w:t>无。</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（七）其他有关文件专门要求通过政府信息公开工作年度报告予以报告的事项</w:t>
      </w:r>
    </w:p>
    <w:p>
      <w:pPr>
        <w:spacing w:line="600" w:lineRule="exact"/>
        <w:rPr>
          <w:rFonts w:ascii="仿宋_GB2312" w:eastAsia="仿宋_GB2312"/>
          <w:b/>
          <w:bCs/>
          <w:sz w:val="32"/>
          <w:szCs w:val="32"/>
        </w:rPr>
      </w:pPr>
      <w:r>
        <w:rPr>
          <w:rFonts w:hint="eastAsia" w:ascii="仿宋_GB2312" w:eastAsia="仿宋_GB2312"/>
          <w:b/>
          <w:bCs/>
          <w:sz w:val="32"/>
          <w:szCs w:val="32"/>
          <w:lang w:eastAsia="zh-CN"/>
        </w:rPr>
        <w:t>无。</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0B53D"/>
    <w:multiLevelType w:val="singleLevel"/>
    <w:tmpl w:val="C180B53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wZDU3M2IzMzFmZGUxZGM0YjkxYzhkYmZjZTkwNzI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2A4730A9"/>
    <w:rsid w:val="390D53DB"/>
    <w:rsid w:val="47495A1C"/>
    <w:rsid w:val="50055E16"/>
    <w:rsid w:val="54021060"/>
    <w:rsid w:val="54A07077"/>
    <w:rsid w:val="579B0E0D"/>
    <w:rsid w:val="5B3026F0"/>
    <w:rsid w:val="5B4B2740"/>
    <w:rsid w:val="69366986"/>
    <w:rsid w:val="6FCC3E02"/>
    <w:rsid w:val="781F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日期 字符"/>
    <w:basedOn w:val="6"/>
    <w:link w:val="2"/>
    <w:autoRedefine/>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年县金融服务中心主动公开情况</a:t>
            </a:r>
            <a:endParaRPr altLang="en-US"/>
          </a:p>
        </c:rich>
      </c:tx>
      <c:layout/>
      <c:overlay val="0"/>
      <c:spPr>
        <a:noFill/>
        <a:ln>
          <a:noFill/>
        </a:ln>
        <a:effectLst/>
      </c:spPr>
    </c:title>
    <c:autoTitleDeleted val="0"/>
    <c:plotArea>
      <c:layout/>
      <c:pieChart>
        <c:varyColors val="1"/>
        <c:ser>
          <c:idx val="0"/>
          <c:order val="0"/>
          <c:tx>
            <c:strRef>
              <c:f>[工作簿1]Sheet1!$B$1</c:f>
              <c:strCache>
                <c:ptCount val="1"/>
                <c:pt idx="0">
                  <c:v>数量</c:v>
                </c:pt>
              </c:strCache>
            </c:strRef>
          </c:tx>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Pt>
            <c:idx val="2"/>
            <c:bubble3D val="0"/>
            <c:spPr>
              <a:solidFill>
                <a:schemeClr val="accent5"/>
              </a:solidFill>
              <a:ln>
                <a:solidFill>
                  <a:schemeClr val="bg1"/>
                </a:solidFill>
              </a:ln>
              <a:effectLst/>
            </c:spPr>
          </c:dPt>
          <c:dPt>
            <c:idx val="3"/>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[工作簿1]Sheet1!$A$2:$A$5</c:f>
              <c:strCache>
                <c:ptCount val="4"/>
                <c:pt idx="0">
                  <c:v>会议公开</c:v>
                </c:pt>
                <c:pt idx="1">
                  <c:v>执行和结果公开</c:v>
                </c:pt>
                <c:pt idx="2">
                  <c:v>营商环境政策文件</c:v>
                </c:pt>
                <c:pt idx="3">
                  <c:v>部门动态</c:v>
                </c:pt>
              </c:strCache>
            </c:strRef>
          </c:cat>
          <c:val>
            <c:numRef>
              <c:f>[工作簿1]Sheet1!$B$2:$B$5</c:f>
              <c:numCache>
                <c:formatCode>General</c:formatCode>
                <c:ptCount val="4"/>
                <c:pt idx="0">
                  <c:v>2</c:v>
                </c:pt>
                <c:pt idx="1">
                  <c:v>3</c:v>
                </c:pt>
                <c:pt idx="2">
                  <c:v>177</c:v>
                </c:pt>
                <c:pt idx="3">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2316</Words>
  <Characters>2389</Characters>
  <Lines>30</Lines>
  <Paragraphs>8</Paragraphs>
  <TotalTime>39</TotalTime>
  <ScaleCrop>false</ScaleCrop>
  <LinksUpToDate>false</LinksUpToDate>
  <CharactersWithSpaces>2389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cp:lastModifiedBy>
  <cp:lastPrinted>2024-01-02T08:50:00Z</cp:lastPrinted>
  <dcterms:modified xsi:type="dcterms:W3CDTF">2024-02-01T07:29:04Z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E1F0ADFE2E354292A5E4F24701B08F2F_13</vt:lpwstr>
  </property>
</Properties>
</file>