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BF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高楼乡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年财政预算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草案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）</w:t>
      </w:r>
    </w:p>
    <w:p w14:paraId="0A2D0EC2">
      <w:pPr>
        <w:spacing w:line="560" w:lineRule="exact"/>
        <w:ind w:firstLine="643" w:firstLineChars="200"/>
        <w:jc w:val="both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年，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我们将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坚持以习近平新时代中国特色社会主义思想为指导，全面贯彻党的二十大和中央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省市县委经济工作会议等重要会议精神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努力完成各项财政工作任务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为全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经济社会发展提供坚强保障。</w:t>
      </w:r>
    </w:p>
    <w:p w14:paraId="398C2A10">
      <w:pPr>
        <w:spacing w:line="560" w:lineRule="exact"/>
        <w:ind w:firstLine="643" w:firstLineChars="200"/>
        <w:jc w:val="both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全年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预算收支拟作如下安排：全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一般公共预算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2320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万元。预算支出情况如下：人员类支出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 xml:space="preserve"> 1217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万元，公用经费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103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万元，非统发人员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工资40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安全与环境项目支出200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农林水建设项目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400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业务经费项目支出360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。</w:t>
      </w:r>
    </w:p>
    <w:p w14:paraId="55EEA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eastAsia="方正仿宋简体" w:cs="Times New Roman"/>
          <w:b/>
          <w:bCs/>
          <w:sz w:val="32"/>
          <w:szCs w:val="32"/>
          <w:lang w:val="en-US" w:eastAsia="zh-CN"/>
        </w:rPr>
        <w:t>年，我们将围绕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乡</w:t>
      </w:r>
      <w:r>
        <w:rPr>
          <w:rFonts w:hint="default" w:eastAsia="方正仿宋简体" w:cs="Times New Roman"/>
          <w:b/>
          <w:bCs/>
          <w:sz w:val="32"/>
          <w:szCs w:val="32"/>
          <w:lang w:val="en-US" w:eastAsia="zh-CN"/>
        </w:rPr>
        <w:t>党委、政府确定的财政工作目标，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重点做好以下工作：</w:t>
      </w:r>
    </w:p>
    <w:p w14:paraId="1FBCCEB2">
      <w:pPr>
        <w:numPr>
          <w:ilvl w:val="0"/>
          <w:numId w:val="1"/>
        </w:num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/>
          <w:b/>
          <w:bCs/>
          <w:color w:val="auto"/>
          <w:sz w:val="32"/>
          <w:lang w:eastAsia="zh-CN"/>
        </w:rPr>
        <w:t>强化</w:t>
      </w:r>
      <w:r>
        <w:rPr>
          <w:rFonts w:ascii="楷体_GB2312" w:eastAsia="楷体_GB2312"/>
          <w:b/>
          <w:bCs/>
          <w:color w:val="auto"/>
          <w:sz w:val="32"/>
        </w:rPr>
        <w:t>征管</w:t>
      </w:r>
      <w:r>
        <w:rPr>
          <w:rFonts w:hint="eastAsia" w:ascii="楷体_GB2312" w:eastAsia="楷体_GB2312"/>
          <w:b/>
          <w:bCs/>
          <w:color w:val="auto"/>
          <w:sz w:val="32"/>
          <w:lang w:val="en-US" w:eastAsia="zh-CN"/>
        </w:rPr>
        <w:t>,</w:t>
      </w:r>
      <w:r>
        <w:rPr>
          <w:rFonts w:hint="eastAsia" w:ascii="楷体_GB2312" w:eastAsia="楷体_GB2312"/>
          <w:b/>
          <w:bCs/>
          <w:color w:val="auto"/>
          <w:sz w:val="32"/>
          <w:lang w:eastAsia="zh-CN"/>
        </w:rPr>
        <w:t>培植</w:t>
      </w:r>
      <w:r>
        <w:rPr>
          <w:rFonts w:ascii="楷体_GB2312" w:eastAsia="楷体_GB2312"/>
          <w:b/>
          <w:bCs/>
          <w:color w:val="auto"/>
          <w:sz w:val="32"/>
        </w:rPr>
        <w:t>财源。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紧盯高楼年度税收任务，实施收入动态监控，持续关注重点行业、重点税源及主要税种的新增长点，确保各项收入应收尽收、及时足额入库。坚持挖潜与增收并重，凝聚全乡力量，积极挖掘有效招商线索，部门协作、上下联动，吸引企业落地高楼。</w:t>
      </w:r>
    </w:p>
    <w:p w14:paraId="1FBFE493"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楷体_GB2312" w:eastAsia="楷体_GB2312"/>
          <w:b/>
          <w:bCs/>
          <w:color w:val="auto"/>
          <w:sz w:val="32"/>
        </w:rPr>
        <w:t>（</w:t>
      </w:r>
      <w:r>
        <w:rPr>
          <w:rFonts w:hint="eastAsia" w:ascii="楷体_GB2312" w:eastAsia="楷体_GB2312"/>
          <w:b/>
          <w:bCs/>
          <w:color w:val="auto"/>
          <w:sz w:val="32"/>
          <w:lang w:eastAsia="zh-CN"/>
        </w:rPr>
        <w:t>二</w:t>
      </w:r>
      <w:r>
        <w:rPr>
          <w:rFonts w:ascii="楷体_GB2312" w:eastAsia="楷体_GB2312"/>
          <w:b/>
          <w:bCs/>
          <w:color w:val="auto"/>
          <w:sz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优调结构，</w:t>
      </w:r>
      <w:r>
        <w:rPr>
          <w:rFonts w:hint="eastAsia" w:ascii="楷体_GB2312" w:eastAsia="楷体_GB2312"/>
          <w:b/>
          <w:bCs/>
          <w:color w:val="auto"/>
          <w:sz w:val="32"/>
          <w:lang w:eastAsia="zh-CN"/>
        </w:rPr>
        <w:t>紧箍</w:t>
      </w:r>
      <w:r>
        <w:rPr>
          <w:rFonts w:ascii="楷体_GB2312" w:eastAsia="楷体_GB2312"/>
          <w:b/>
          <w:bCs/>
          <w:color w:val="auto"/>
          <w:sz w:val="32"/>
        </w:rPr>
        <w:t>预算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优化支出结构,严控“三公”经费等一般性支出,保障农业、水利、交通等民生项目支出,其他支出有预算不突破，无预算不支出,严格按照批复预算执行。切实强化预算约束,合理安排各项事业发展所需的专项资金，使有限的资金用在刀刃上。</w:t>
      </w:r>
    </w:p>
    <w:p w14:paraId="04690E26">
      <w:pPr>
        <w:spacing w:line="560" w:lineRule="exact"/>
        <w:ind w:firstLine="643" w:firstLineChars="200"/>
        <w:jc w:val="both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楷体_GB2312" w:eastAsia="楷体_GB2312"/>
          <w:b/>
          <w:bCs/>
          <w:color w:val="auto"/>
          <w:sz w:val="32"/>
        </w:rPr>
        <w:t>（</w:t>
      </w:r>
      <w:r>
        <w:rPr>
          <w:rFonts w:hint="eastAsia" w:ascii="楷体_GB2312" w:eastAsia="楷体_GB2312"/>
          <w:b/>
          <w:bCs/>
          <w:color w:val="auto"/>
          <w:sz w:val="32"/>
          <w:lang w:eastAsia="zh-CN"/>
        </w:rPr>
        <w:t>三</w:t>
      </w:r>
      <w:r>
        <w:rPr>
          <w:rFonts w:ascii="楷体_GB2312" w:eastAsia="楷体_GB2312"/>
          <w:b/>
          <w:bCs/>
          <w:color w:val="auto"/>
          <w:sz w:val="32"/>
        </w:rPr>
        <w:t>）深</w:t>
      </w:r>
      <w:r>
        <w:rPr>
          <w:rFonts w:hint="eastAsia" w:ascii="楷体_GB2312" w:eastAsia="楷体_GB2312"/>
          <w:b/>
          <w:bCs/>
          <w:color w:val="auto"/>
          <w:sz w:val="32"/>
          <w:lang w:eastAsia="zh-CN"/>
        </w:rPr>
        <w:t>研</w:t>
      </w:r>
      <w:r>
        <w:rPr>
          <w:rFonts w:ascii="楷体_GB2312" w:eastAsia="楷体_GB2312"/>
          <w:b/>
          <w:bCs/>
          <w:color w:val="auto"/>
          <w:sz w:val="32"/>
        </w:rPr>
        <w:t>政策，</w:t>
      </w:r>
      <w:r>
        <w:rPr>
          <w:rFonts w:hint="eastAsia" w:ascii="楷体_GB2312" w:eastAsia="楷体_GB2312"/>
          <w:b/>
          <w:bCs/>
          <w:color w:val="auto"/>
          <w:sz w:val="32"/>
          <w:lang w:eastAsia="zh-CN"/>
        </w:rPr>
        <w:t>对上争取</w:t>
      </w:r>
      <w:r>
        <w:rPr>
          <w:rFonts w:ascii="楷体_GB2312" w:eastAsia="楷体_GB2312"/>
          <w:b/>
          <w:bCs/>
          <w:color w:val="auto"/>
          <w:sz w:val="32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深入分析研究上级支持政策，准确把握政策精神，切实加强与上级部门的沟通对接，利用一切资源,积极争取上级在项目安排、资金分配、政策制定等方面的支持和倾斜，缓解高楼财政压力。</w:t>
      </w:r>
    </w:p>
    <w:p w14:paraId="27544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楷体_GB2312" w:eastAsia="楷体_GB2312"/>
          <w:b/>
          <w:bCs/>
          <w:color w:val="auto"/>
          <w:sz w:val="32"/>
        </w:rPr>
        <w:t>（</w:t>
      </w:r>
      <w:r>
        <w:rPr>
          <w:rFonts w:hint="eastAsia" w:ascii="楷体_GB2312" w:eastAsia="楷体_GB2312"/>
          <w:b/>
          <w:bCs/>
          <w:color w:val="auto"/>
          <w:sz w:val="32"/>
          <w:lang w:eastAsia="zh-CN"/>
        </w:rPr>
        <w:t>四</w:t>
      </w:r>
      <w:r>
        <w:rPr>
          <w:rFonts w:ascii="楷体_GB2312" w:eastAsia="楷体_GB2312"/>
          <w:b/>
          <w:bCs/>
          <w:color w:val="auto"/>
          <w:sz w:val="32"/>
        </w:rPr>
        <w:t>）</w:t>
      </w:r>
      <w:r>
        <w:rPr>
          <w:rFonts w:hint="eastAsia" w:ascii="楷体_GB2312" w:eastAsia="楷体_GB2312"/>
          <w:b/>
          <w:bCs/>
          <w:color w:val="auto"/>
          <w:sz w:val="32"/>
          <w:lang w:eastAsia="zh-CN"/>
        </w:rPr>
        <w:t>夯实基础</w:t>
      </w:r>
      <w:r>
        <w:rPr>
          <w:rFonts w:ascii="楷体_GB2312" w:eastAsia="楷体_GB2312"/>
          <w:b/>
          <w:bCs/>
          <w:color w:val="auto"/>
          <w:sz w:val="32"/>
        </w:rPr>
        <w:t>，抓好队伍。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重点围绕财务、经济、税收征管等相关工作，制定系统的培训计划，开展多层次、多形式的培训活动，培养业务熟练、能力突出、懂经济、会招商的乡村干部人才，促进财政治理效能不断提高。</w:t>
      </w:r>
    </w:p>
    <w:p w14:paraId="42FE241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F0400"/>
    <w:multiLevelType w:val="singleLevel"/>
    <w:tmpl w:val="FBFF040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47A6E"/>
    <w:rsid w:val="610252EE"/>
    <w:rsid w:val="75EFF1D4"/>
    <w:rsid w:val="FD3EBE0A"/>
    <w:rsid w:val="FEA59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689</Characters>
  <Lines>0</Lines>
  <Paragraphs>0</Paragraphs>
  <TotalTime>6.33333333333333</TotalTime>
  <ScaleCrop>false</ScaleCrop>
  <LinksUpToDate>false</LinksUpToDate>
  <CharactersWithSpaces>690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2025-02-18T16:31:36Z</dcterms:created>
  <dc:creator>thtf</dc:creator>
  <cp:lastModifiedBy>Mångata</cp:lastModifiedBy>
  <dcterms:modified xsi:type="dcterms:W3CDTF">2025-02-19T01:00:05Z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DEE8DA87B27E4B84A1BC5195C2EAA9CC_13</vt:lpwstr>
  </property>
  <property fmtid="{D5CDD505-2E9C-101B-9397-08002B2CF9AE}" pid="4" name="KSOTemplateDocerSaveRecord">
    <vt:lpwstr>eyJoZGlkIjoiZTE1MzM3OGI3YmY3Yzk1Y2ZjNmY1MjNhMDFkMmI5MzIiLCJ1c2VySWQiOiI2NjA1MjY5NTAifQ==</vt:lpwstr>
  </property>
</Properties>
</file>