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0" w:beforeAutospacing="0" w:after="0" w:afterAutospacing="0" w:line="560" w:lineRule="exact"/>
        <w:ind w:left="0" w:right="0"/>
        <w:jc w:val="center"/>
        <w:rPr>
          <w:rFonts w:hint="eastAsia" w:ascii="方正小标宋简体" w:hAnsi="方正小标宋简体" w:eastAsia="方正小标宋简体" w:cs="方正小标宋简体"/>
          <w:b/>
          <w:sz w:val="44"/>
          <w:szCs w:val="44"/>
          <w:lang w:val="en-US" w:eastAsia="zh-CN" w:bidi="ar-SA"/>
        </w:rPr>
      </w:pPr>
      <w:r>
        <w:rPr>
          <w:rFonts w:hint="eastAsia" w:ascii="方正小标宋简体" w:hAnsi="方正小标宋简体" w:eastAsia="方正小标宋简体" w:cs="方正小标宋简体"/>
          <w:b/>
          <w:sz w:val="44"/>
          <w:szCs w:val="44"/>
          <w:lang w:val="en-US" w:eastAsia="zh-CN" w:bidi="ar-SA"/>
        </w:rPr>
        <w:t>微山县人民政府办公室</w:t>
      </w:r>
    </w:p>
    <w:p>
      <w:pPr>
        <w:pStyle w:val="3"/>
        <w:widowControl/>
        <w:shd w:val="clear" w:color="auto" w:fill="FFFFFF"/>
        <w:spacing w:before="0" w:beforeAutospacing="0" w:after="0" w:afterAutospacing="0" w:line="560" w:lineRule="exact"/>
        <w:ind w:left="0" w:right="0"/>
        <w:jc w:val="center"/>
        <w:rPr>
          <w:rFonts w:hint="eastAsia" w:ascii="方正小标宋简体" w:hAnsi="方正小标宋简体" w:eastAsia="方正小标宋简体" w:cs="方正小标宋简体"/>
          <w:b/>
          <w:sz w:val="44"/>
          <w:szCs w:val="44"/>
          <w:lang w:val="en-US" w:eastAsia="zh-CN" w:bidi="ar-SA"/>
        </w:rPr>
      </w:pPr>
      <w:r>
        <w:rPr>
          <w:rFonts w:hint="eastAsia" w:ascii="方正小标宋简体" w:hAnsi="方正小标宋简体" w:eastAsia="方正小标宋简体" w:cs="方正小标宋简体"/>
          <w:b/>
          <w:sz w:val="44"/>
          <w:szCs w:val="44"/>
          <w:lang w:val="en-US" w:eastAsia="zh-CN" w:bidi="ar-SA"/>
        </w:rPr>
        <w:t>2022年政府信息公开工作年度报告</w:t>
      </w:r>
    </w:p>
    <w:p>
      <w:pPr>
        <w:pStyle w:val="3"/>
        <w:widowControl/>
        <w:shd w:val="clear" w:color="auto" w:fill="FFFFFF"/>
        <w:spacing w:before="0" w:beforeAutospacing="0" w:after="0" w:afterAutospacing="0"/>
        <w:ind w:firstLine="420"/>
        <w:jc w:val="both"/>
        <w:rPr>
          <w:rFonts w:ascii="宋体" w:hAnsi="宋体" w:cs="宋体"/>
          <w:b/>
        </w:rPr>
      </w:pP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根据《中华人民共和国政府信息公开条例》(国务院令第711号)和《中华人民共和国政府信息公开工作年度报告格式》（国办公开办函〔2021〕30号）要求，发布微山县人民政府办公室2022年政府信息公开工作年度报告。</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本报告包括总体情况、主动公开政府信息情况、收到和处理政府信息公开申请情况、政府信息公开行政复议和行政诉讼情况、存在的主要问题及改进情况、其他需要报告的事项等六个部分。本报告所列数据的统计期限自2022年1月1日起至2022年12月31日止。本报告电子版可在“中国·微山”政府门户网站（www.weishan.gov.cn）查阅或下载。如对本报告有疑问，请与微山县人民政府办公室联系（地址：昭阳路9号，联系电话：0537-82</w:t>
      </w:r>
      <w:r>
        <w:rPr>
          <w:rStyle w:val="6"/>
          <w:rFonts w:hint="eastAsia" w:ascii="方正仿宋简体" w:hAnsi="方正仿宋简体" w:eastAsia="方正仿宋简体" w:cs="方正仿宋简体"/>
          <w:sz w:val="32"/>
          <w:szCs w:val="32"/>
          <w:lang w:val="en-US" w:eastAsia="zh-CN" w:bidi="ar-SA"/>
        </w:rPr>
        <w:t>26608</w:t>
      </w:r>
      <w:r>
        <w:rPr>
          <w:rStyle w:val="6"/>
          <w:rFonts w:hint="default" w:ascii="方正仿宋简体" w:hAnsi="方正仿宋简体" w:eastAsia="方正仿宋简体" w:cs="方正仿宋简体"/>
          <w:sz w:val="32"/>
          <w:szCs w:val="32"/>
          <w:lang w:bidi="ar-SA"/>
        </w:rPr>
        <w:t>）。</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一、总体情况</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2022年，微山县人民政府办公室严格贯彻落实《政府信息公开条例》，根据国务院办公厅印发的《2022年政务公开工作要点》及省、市相关工作部署，统筹推进政府信息公开，进一步深化公开内容、加强重点领域信息公开，全面推进政府信息公开工作。</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（一）主动公开</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一是法定主动公开内容。2022年，微山县人民政府办公室通过政府门户网站主动公开信息100余条，通过“微山政务”微信公众号发布信息115条。</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二</w:t>
      </w:r>
      <w:bookmarkStart w:id="0" w:name="_GoBack"/>
      <w:bookmarkEnd w:id="0"/>
      <w:r>
        <w:rPr>
          <w:rStyle w:val="6"/>
          <w:rFonts w:hint="default" w:ascii="方正仿宋简体" w:hAnsi="方正仿宋简体" w:eastAsia="方正仿宋简体" w:cs="方正仿宋简体"/>
          <w:sz w:val="32"/>
          <w:szCs w:val="32"/>
          <w:lang w:bidi="ar-SA"/>
        </w:rPr>
        <w:t>是文件及解读公开。今年信息公开工作依旧坚持“应公开、尽公开”的原则，聚焦政策解读，进一步创新解读形式、发布权威声音。围绕“六稳”“六保”、优化营商环境等重点工作，扎实做好线上线下联动推广。今年发布的19个政策文件全部采用主要负责人解读、专家解读、图文解读、音视频解读等形式累计发布解读115条。</w:t>
      </w:r>
    </w:p>
    <w:p>
      <w:pPr>
        <w:pStyle w:val="3"/>
        <w:keepNext w:val="0"/>
        <w:keepLines w:val="0"/>
        <w:widowControl/>
        <w:suppressLineNumbers w:val="0"/>
        <w:spacing w:before="0" w:beforeAutospacing="0" w:after="0" w:afterAutospacing="0" w:line="420" w:lineRule="atLeast"/>
        <w:ind w:left="0" w:right="0" w:firstLine="0"/>
        <w:jc w:val="center"/>
        <w:rPr>
          <w:rFonts w:hint="default" w:ascii="Times New Roman" w:hAnsi="Times New Roman" w:eastAsia="sans-serif" w:cs="Times New Roman"/>
          <w:b w:val="0"/>
          <w:bCs w:val="0"/>
          <w:i w:val="0"/>
          <w:iCs w:val="0"/>
          <w:caps w:val="0"/>
          <w:color w:val="000000"/>
          <w:spacing w:val="0"/>
          <w:sz w:val="24"/>
          <w:szCs w:val="24"/>
        </w:rPr>
      </w:pPr>
      <w:r>
        <w:rPr>
          <w:rFonts w:hint="default" w:ascii="Times New Roman" w:hAnsi="Times New Roman" w:eastAsia="sans-serif" w:cs="Times New Roman"/>
          <w:b w:val="0"/>
          <w:bCs w:val="0"/>
          <w:i w:val="0"/>
          <w:iCs w:val="0"/>
          <w:caps w:val="0"/>
          <w:color w:val="000000"/>
          <w:spacing w:val="0"/>
          <w:sz w:val="24"/>
          <w:szCs w:val="24"/>
        </w:rPr>
        <w:drawing>
          <wp:inline distT="0" distB="0" distL="114300" distR="114300">
            <wp:extent cx="4219575" cy="3276600"/>
            <wp:effectExtent l="0" t="0" r="9525"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4219575" cy="3276600"/>
                    </a:xfrm>
                    <a:prstGeom prst="rect">
                      <a:avLst/>
                    </a:prstGeom>
                    <a:noFill/>
                    <a:ln w="9525">
                      <a:noFill/>
                    </a:ln>
                  </pic:spPr>
                </pic:pic>
              </a:graphicData>
            </a:graphic>
          </wp:inline>
        </w:drawing>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三是会议公开。2022年县政府机关共召开14次常务会议、68次专题会议，对外公开的政府常务会议全部配套图文解读、媒体报道。</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四是专题专栏建设。群众普遍关切的重大建设项目、重大决策、营商环境、疫情防控等重点领域均已在政府网站显著位置建设专题专栏，做好信息主动公开，积极回应社会关切。</w:t>
      </w:r>
    </w:p>
    <w:p>
      <w:pPr>
        <w:pStyle w:val="3"/>
        <w:keepNext w:val="0"/>
        <w:keepLines w:val="0"/>
        <w:widowControl/>
        <w:suppressLineNumbers w:val="0"/>
        <w:spacing w:before="0" w:beforeAutospacing="0" w:after="0" w:afterAutospacing="0" w:line="420" w:lineRule="atLeast"/>
        <w:ind w:left="0" w:right="0" w:firstLine="0"/>
        <w:jc w:val="center"/>
        <w:rPr>
          <w:rFonts w:hint="default" w:ascii="Times New Roman" w:hAnsi="Times New Roman" w:eastAsia="sans-serif" w:cs="Times New Roman"/>
          <w:b w:val="0"/>
          <w:bCs w:val="0"/>
          <w:i w:val="0"/>
          <w:iCs w:val="0"/>
          <w:caps w:val="0"/>
          <w:color w:val="000000"/>
          <w:spacing w:val="0"/>
          <w:sz w:val="24"/>
          <w:szCs w:val="24"/>
        </w:rPr>
      </w:pPr>
      <w:r>
        <w:rPr>
          <w:rFonts w:hint="default" w:ascii="Times New Roman" w:hAnsi="Times New Roman" w:eastAsia="sans-serif" w:cs="Times New Roman"/>
          <w:b w:val="0"/>
          <w:bCs w:val="0"/>
          <w:i w:val="0"/>
          <w:iCs w:val="0"/>
          <w:caps w:val="0"/>
          <w:color w:val="000000"/>
          <w:spacing w:val="0"/>
          <w:sz w:val="24"/>
          <w:szCs w:val="24"/>
        </w:rPr>
        <w:drawing>
          <wp:inline distT="0" distB="0" distL="114300" distR="114300">
            <wp:extent cx="5267325" cy="2076450"/>
            <wp:effectExtent l="0" t="0" r="9525"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267325" cy="2076450"/>
                    </a:xfrm>
                    <a:prstGeom prst="rect">
                      <a:avLst/>
                    </a:prstGeom>
                    <a:noFill/>
                    <a:ln w="9525">
                      <a:noFill/>
                    </a:ln>
                  </pic:spPr>
                </pic:pic>
              </a:graphicData>
            </a:graphic>
          </wp:inline>
        </w:drawing>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（二）依申请公开</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县政府办公室政府信息依申请公开共计22件，全部按时规范答复，行政复议和诉讼率为0。依申请公开创新举措,建立政府信息依申请公开备案制度，各乡镇（街道）、县政府各部门单位办理完结后需将相关材料复印件及电子版在答复申请人3个工作日内报县政府办公室备案。</w:t>
      </w:r>
    </w:p>
    <w:p>
      <w:pPr>
        <w:pStyle w:val="3"/>
        <w:keepNext w:val="0"/>
        <w:keepLines w:val="0"/>
        <w:widowControl/>
        <w:suppressLineNumbers w:val="0"/>
        <w:spacing w:before="0" w:beforeAutospacing="0" w:after="0" w:afterAutospacing="0" w:line="420" w:lineRule="atLeast"/>
        <w:ind w:left="0" w:right="0" w:firstLine="0"/>
        <w:jc w:val="center"/>
        <w:rPr>
          <w:rFonts w:hint="default" w:ascii="Times New Roman" w:hAnsi="Times New Roman" w:eastAsia="sans-serif" w:cs="Times New Roman"/>
          <w:b w:val="0"/>
          <w:bCs w:val="0"/>
          <w:i w:val="0"/>
          <w:iCs w:val="0"/>
          <w:caps w:val="0"/>
          <w:color w:val="000000"/>
          <w:spacing w:val="0"/>
          <w:sz w:val="24"/>
          <w:szCs w:val="24"/>
        </w:rPr>
      </w:pPr>
      <w:r>
        <w:rPr>
          <w:rFonts w:hint="default" w:ascii="Times New Roman" w:hAnsi="Times New Roman" w:eastAsia="sans-serif" w:cs="Times New Roman"/>
          <w:b w:val="0"/>
          <w:bCs w:val="0"/>
          <w:i w:val="0"/>
          <w:iCs w:val="0"/>
          <w:caps w:val="0"/>
          <w:color w:val="000000"/>
          <w:spacing w:val="0"/>
          <w:sz w:val="24"/>
          <w:szCs w:val="24"/>
        </w:rPr>
        <w:drawing>
          <wp:inline distT="0" distB="0" distL="114300" distR="114300">
            <wp:extent cx="4438650" cy="4486275"/>
            <wp:effectExtent l="0" t="0" r="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4438650" cy="4486275"/>
                    </a:xfrm>
                    <a:prstGeom prst="rect">
                      <a:avLst/>
                    </a:prstGeom>
                    <a:noFill/>
                    <a:ln w="9525">
                      <a:noFill/>
                    </a:ln>
                  </pic:spPr>
                </pic:pic>
              </a:graphicData>
            </a:graphic>
          </wp:inline>
        </w:drawing>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（三）政府信息管理</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一是做好政府公报的发布。今年，共发布政府公报6期，公开政策文件42件，比上年增加12件，方便群众查阅。</w:t>
      </w:r>
    </w:p>
    <w:p>
      <w:pPr>
        <w:pStyle w:val="3"/>
        <w:keepNext w:val="0"/>
        <w:keepLines w:val="0"/>
        <w:widowControl/>
        <w:suppressLineNumbers w:val="0"/>
        <w:spacing w:before="0" w:beforeAutospacing="0" w:after="0" w:afterAutospacing="0" w:line="420" w:lineRule="atLeast"/>
        <w:ind w:left="0" w:right="0" w:firstLine="0"/>
        <w:jc w:val="center"/>
        <w:rPr>
          <w:rFonts w:hint="default" w:ascii="Times New Roman" w:hAnsi="Times New Roman" w:eastAsia="sans-serif" w:cs="Times New Roman"/>
          <w:b w:val="0"/>
          <w:bCs w:val="0"/>
          <w:i w:val="0"/>
          <w:iCs w:val="0"/>
          <w:caps w:val="0"/>
          <w:color w:val="000000"/>
          <w:spacing w:val="0"/>
          <w:sz w:val="24"/>
          <w:szCs w:val="24"/>
        </w:rPr>
      </w:pPr>
      <w:r>
        <w:rPr>
          <w:rFonts w:hint="default" w:ascii="Times New Roman" w:hAnsi="Times New Roman" w:eastAsia="sans-serif" w:cs="Times New Roman"/>
          <w:b w:val="0"/>
          <w:bCs w:val="0"/>
          <w:i w:val="0"/>
          <w:iCs w:val="0"/>
          <w:caps w:val="0"/>
          <w:color w:val="000000"/>
          <w:spacing w:val="0"/>
          <w:sz w:val="24"/>
          <w:szCs w:val="24"/>
        </w:rPr>
        <w:drawing>
          <wp:inline distT="0" distB="0" distL="114300" distR="114300">
            <wp:extent cx="5267325" cy="2628900"/>
            <wp:effectExtent l="0" t="0" r="9525"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5267325" cy="2628900"/>
                    </a:xfrm>
                    <a:prstGeom prst="rect">
                      <a:avLst/>
                    </a:prstGeom>
                    <a:noFill/>
                    <a:ln w="9525">
                      <a:noFill/>
                    </a:ln>
                  </pic:spPr>
                </pic:pic>
              </a:graphicData>
            </a:graphic>
          </wp:inline>
        </w:drawing>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二是做好规范性文件数据互通。与山东省政府文件库进行了数据对接，将我县156个政策文件对接到山东省政府文件库；将现行有效的16条规范性文件纳入到市级行政规范性文件数据库。</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三是为确保信息公开工作落到实处，县政府办公室指定专门人员管理此项工作，负责推进、指导、协调、监督全县信息公开工作，积极与上级对接，形成了上下联动、覆盖面广的政府信息公开网络体系，保证工作的顺利开展。</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（四）平台建设</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发挥政府门户网站信息公开主阵地作用，完善和优化网站栏目设置，使公开内容更加丰富。设置惠企纾困政策汇总专栏，助力企业“一站式”查询了解近期惠企纾困政策；在微山县档案馆、行政审批服务中心、各乡镇、街道等地设置政务公开专区，方便群众查询政府信息。</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（五）监督保障</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优化调整政务公开考核事项和评分标准，务实细致开展考核。紧扣微山县政务公开中心工作，统筹谋划制定要点分工方案，落实分工、压实责任。组织召开全县政务公开工作专题培训，通过现场现场演示、业务问答等形式，对单位政务公开工作人员进行指导，进一步提升全县政务公开工作人员的业务能力。</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二、主动公开政府信息情况</w:t>
      </w:r>
    </w:p>
    <w:tbl>
      <w:tblPr>
        <w:tblStyle w:val="4"/>
        <w:tblW w:w="8821" w:type="dxa"/>
        <w:jc w:val="center"/>
        <w:tblInd w:w="0" w:type="dxa"/>
        <w:tblLayout w:type="fixed"/>
        <w:tblCellMar>
          <w:top w:w="0" w:type="dxa"/>
          <w:left w:w="0" w:type="dxa"/>
          <w:bottom w:w="0" w:type="dxa"/>
          <w:right w:w="0" w:type="dxa"/>
        </w:tblCellMar>
      </w:tblPr>
      <w:tblGrid>
        <w:gridCol w:w="1991"/>
        <w:gridCol w:w="2435"/>
        <w:gridCol w:w="2435"/>
        <w:gridCol w:w="1960"/>
      </w:tblGrid>
      <w:tr>
        <w:tblPrEx>
          <w:tblLayout w:type="fixed"/>
          <w:tblCellMar>
            <w:top w:w="0" w:type="dxa"/>
            <w:left w:w="0" w:type="dxa"/>
            <w:bottom w:w="0" w:type="dxa"/>
            <w:right w:w="0" w:type="dxa"/>
          </w:tblCellMar>
        </w:tblPrEx>
        <w:trPr>
          <w:trHeight w:val="340" w:hRule="atLeast"/>
          <w:jc w:val="center"/>
        </w:trPr>
        <w:tc>
          <w:tcPr>
            <w:tcW w:w="8821"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b/>
              </w:rPr>
            </w:pPr>
            <w:r>
              <w:rPr>
                <w:rFonts w:hint="eastAsia" w:ascii="宋体" w:hAnsi="宋体" w:cs="宋体"/>
                <w:b/>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1991"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本年废止件数</w:t>
            </w:r>
          </w:p>
        </w:tc>
        <w:tc>
          <w:tcPr>
            <w:tcW w:w="1960"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1991"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 　0</w:t>
            </w:r>
          </w:p>
        </w:tc>
        <w:tc>
          <w:tcPr>
            <w:tcW w:w="1960" w:type="dxa"/>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cs="Calibri"/>
                <w:b/>
                <w:kern w:val="0"/>
                <w:szCs w:val="21"/>
                <w:lang w:bidi="ar"/>
              </w:rPr>
              <w:t> </w:t>
            </w:r>
            <w:r>
              <w:rPr>
                <w:rFonts w:hint="eastAsia" w:cs="Calibri"/>
                <w:b/>
                <w:kern w:val="0"/>
                <w:szCs w:val="21"/>
                <w:lang w:val="en-US" w:eastAsia="zh-CN" w:bidi="ar"/>
              </w:rPr>
              <w:t xml:space="preserve">  </w:t>
            </w:r>
            <w:r>
              <w:rPr>
                <w:rFonts w:cs="Calibri"/>
                <w:b/>
                <w:kern w:val="0"/>
                <w:szCs w:val="21"/>
                <w:lang w:bidi="ar"/>
              </w:rPr>
              <w:t>0</w:t>
            </w:r>
          </w:p>
        </w:tc>
      </w:tr>
      <w:tr>
        <w:tblPrEx>
          <w:tblLayout w:type="fixed"/>
          <w:tblCellMar>
            <w:top w:w="0" w:type="dxa"/>
            <w:left w:w="0" w:type="dxa"/>
            <w:bottom w:w="0" w:type="dxa"/>
            <w:right w:w="0" w:type="dxa"/>
          </w:tblCellMar>
        </w:tblPrEx>
        <w:trPr>
          <w:trHeight w:val="340" w:hRule="atLeast"/>
          <w:jc w:val="center"/>
        </w:trPr>
        <w:tc>
          <w:tcPr>
            <w:tcW w:w="1991"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Theme="minorEastAsia"/>
                <w:b/>
                <w:lang w:eastAsia="zh-CN"/>
              </w:rPr>
            </w:pPr>
            <w:r>
              <w:rPr>
                <w:rFonts w:hint="eastAsia" w:ascii="宋体" w:hAnsi="宋体" w:cs="宋体"/>
                <w:b/>
                <w:kern w:val="0"/>
                <w:sz w:val="20"/>
                <w:szCs w:val="20"/>
                <w:lang w:bidi="ar"/>
              </w:rPr>
              <w:t>　　</w:t>
            </w:r>
            <w:r>
              <w:rPr>
                <w:rFonts w:hint="eastAsia" w:ascii="宋体" w:hAnsi="宋体" w:cs="宋体"/>
                <w:b/>
                <w:kern w:val="0"/>
                <w:sz w:val="20"/>
                <w:szCs w:val="20"/>
                <w:lang w:val="en-US" w:eastAsia="zh-CN" w:bidi="ar"/>
              </w:rPr>
              <w:t>4</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Theme="minorEastAsia"/>
                <w:b/>
                <w:lang w:eastAsia="zh-CN"/>
              </w:rPr>
            </w:pPr>
            <w:r>
              <w:rPr>
                <w:rFonts w:hint="eastAsia" w:ascii="宋体" w:hAnsi="宋体" w:cs="宋体"/>
                <w:b/>
                <w:kern w:val="0"/>
                <w:sz w:val="20"/>
                <w:szCs w:val="20"/>
                <w:lang w:bidi="ar"/>
              </w:rPr>
              <w:t> 　</w:t>
            </w:r>
            <w:r>
              <w:rPr>
                <w:rFonts w:hint="eastAsia" w:ascii="宋体" w:hAnsi="宋体" w:cs="宋体"/>
                <w:b/>
                <w:kern w:val="0"/>
                <w:sz w:val="20"/>
                <w:szCs w:val="20"/>
                <w:lang w:val="en-US" w:eastAsia="zh-CN" w:bidi="ar"/>
              </w:rPr>
              <w:t>3</w:t>
            </w:r>
          </w:p>
        </w:tc>
        <w:tc>
          <w:tcPr>
            <w:tcW w:w="1960" w:type="dxa"/>
            <w:tcBorders>
              <w:top w:val="nil"/>
              <w:left w:val="nil"/>
              <w:bottom w:val="single" w:color="auto" w:sz="8" w:space="0"/>
              <w:right w:val="single" w:color="auto" w:sz="8" w:space="0"/>
            </w:tcBorders>
            <w:tcMar>
              <w:left w:w="57" w:type="dxa"/>
              <w:right w:w="57" w:type="dxa"/>
            </w:tcMar>
            <w:vAlign w:val="center"/>
          </w:tcPr>
          <w:p>
            <w:pPr>
              <w:widowControl/>
              <w:ind w:firstLine="211" w:firstLineChars="100"/>
              <w:jc w:val="left"/>
              <w:rPr>
                <w:rFonts w:hint="default" w:eastAsiaTheme="minorEastAsia"/>
                <w:b/>
                <w:lang w:val="en-US" w:eastAsia="zh-CN"/>
              </w:rPr>
            </w:pPr>
            <w:r>
              <w:rPr>
                <w:rFonts w:cs="Calibri"/>
                <w:b/>
                <w:kern w:val="0"/>
                <w:szCs w:val="21"/>
                <w:lang w:bidi="ar"/>
              </w:rPr>
              <w:t> </w:t>
            </w:r>
            <w:r>
              <w:rPr>
                <w:rFonts w:hint="eastAsia" w:cs="Calibri"/>
                <w:b/>
                <w:kern w:val="0"/>
                <w:szCs w:val="21"/>
                <w:lang w:val="en-US" w:eastAsia="zh-CN" w:bidi="ar"/>
              </w:rPr>
              <w:t>13</w:t>
            </w:r>
          </w:p>
        </w:tc>
      </w:tr>
      <w:tr>
        <w:tblPrEx>
          <w:tblLayout w:type="fixed"/>
          <w:tblCellMar>
            <w:top w:w="0" w:type="dxa"/>
            <w:left w:w="0" w:type="dxa"/>
            <w:bottom w:w="0" w:type="dxa"/>
            <w:right w:w="0" w:type="dxa"/>
          </w:tblCellMar>
        </w:tblPrEx>
        <w:trPr>
          <w:trHeight w:val="340" w:hRule="atLeast"/>
          <w:jc w:val="center"/>
        </w:trPr>
        <w:tc>
          <w:tcPr>
            <w:tcW w:w="8821"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b/>
              </w:rPr>
            </w:pPr>
            <w:r>
              <w:rPr>
                <w:rFonts w:hint="eastAsia" w:ascii="宋体" w:hAnsi="宋体" w:cs="宋体"/>
                <w:b/>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1991"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信息内容</w:t>
            </w:r>
          </w:p>
        </w:tc>
        <w:tc>
          <w:tcPr>
            <w:tcW w:w="6830"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1991"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行政许可</w:t>
            </w:r>
          </w:p>
        </w:tc>
        <w:tc>
          <w:tcPr>
            <w:tcW w:w="6830"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cs="Calibri"/>
                <w:b/>
                <w:kern w:val="0"/>
                <w:szCs w:val="21"/>
                <w:lang w:bidi="ar"/>
              </w:rPr>
              <w:t> </w:t>
            </w:r>
            <w:r>
              <w:rPr>
                <w:rFonts w:hint="eastAsia" w:cs="Calibri"/>
                <w:b/>
                <w:kern w:val="0"/>
                <w:szCs w:val="21"/>
                <w:lang w:val="en-US" w:eastAsia="zh-CN" w:bidi="ar"/>
              </w:rPr>
              <w:t xml:space="preserve">   </w:t>
            </w:r>
            <w:r>
              <w:rPr>
                <w:rFonts w:cs="Calibri"/>
                <w:b/>
                <w:kern w:val="0"/>
                <w:szCs w:val="21"/>
                <w:lang w:bidi="ar"/>
              </w:rPr>
              <w:t>0</w:t>
            </w:r>
          </w:p>
        </w:tc>
      </w:tr>
      <w:tr>
        <w:tblPrEx>
          <w:tblLayout w:type="fixed"/>
          <w:tblCellMar>
            <w:top w:w="0" w:type="dxa"/>
            <w:left w:w="0" w:type="dxa"/>
            <w:bottom w:w="0" w:type="dxa"/>
            <w:right w:w="0" w:type="dxa"/>
          </w:tblCellMar>
        </w:tblPrEx>
        <w:trPr>
          <w:trHeight w:val="340" w:hRule="atLeast"/>
          <w:jc w:val="center"/>
        </w:trPr>
        <w:tc>
          <w:tcPr>
            <w:tcW w:w="8821"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b/>
              </w:rPr>
            </w:pPr>
            <w:r>
              <w:rPr>
                <w:rFonts w:hint="eastAsia" w:ascii="宋体" w:hAnsi="宋体" w:cs="宋体"/>
                <w:b/>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1991"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信息内容</w:t>
            </w:r>
          </w:p>
        </w:tc>
        <w:tc>
          <w:tcPr>
            <w:tcW w:w="6830"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1991"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行政处罚</w:t>
            </w:r>
          </w:p>
        </w:tc>
        <w:tc>
          <w:tcPr>
            <w:tcW w:w="6830"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　</w:t>
            </w:r>
            <w:r>
              <w:rPr>
                <w:rFonts w:hint="eastAsia" w:ascii="宋体" w:hAnsi="宋体" w:cs="宋体"/>
                <w:b/>
                <w:kern w:val="0"/>
                <w:sz w:val="20"/>
                <w:szCs w:val="20"/>
                <w:lang w:val="en-US" w:eastAsia="zh-CN" w:bidi="ar"/>
              </w:rPr>
              <w:t xml:space="preserve"> </w:t>
            </w:r>
            <w:r>
              <w:rPr>
                <w:rFonts w:hint="eastAsia" w:ascii="宋体" w:hAnsi="宋体" w:cs="宋体"/>
                <w:b/>
                <w:kern w:val="0"/>
                <w:sz w:val="20"/>
                <w:szCs w:val="20"/>
                <w:lang w:bidi="ar"/>
              </w:rPr>
              <w:t>0</w:t>
            </w:r>
          </w:p>
        </w:tc>
      </w:tr>
      <w:tr>
        <w:tblPrEx>
          <w:tblLayout w:type="fixed"/>
          <w:tblCellMar>
            <w:top w:w="0" w:type="dxa"/>
            <w:left w:w="0" w:type="dxa"/>
            <w:bottom w:w="0" w:type="dxa"/>
            <w:right w:w="0" w:type="dxa"/>
          </w:tblCellMar>
        </w:tblPrEx>
        <w:trPr>
          <w:trHeight w:val="340" w:hRule="atLeast"/>
          <w:jc w:val="center"/>
        </w:trPr>
        <w:tc>
          <w:tcPr>
            <w:tcW w:w="1991"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行政强制</w:t>
            </w:r>
          </w:p>
        </w:tc>
        <w:tc>
          <w:tcPr>
            <w:tcW w:w="6830"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　</w:t>
            </w:r>
            <w:r>
              <w:rPr>
                <w:rFonts w:hint="eastAsia" w:ascii="宋体" w:hAnsi="宋体" w:cs="宋体"/>
                <w:b/>
                <w:kern w:val="0"/>
                <w:sz w:val="20"/>
                <w:szCs w:val="20"/>
                <w:lang w:val="en-US" w:eastAsia="zh-CN" w:bidi="ar"/>
              </w:rPr>
              <w:t xml:space="preserve"> </w:t>
            </w:r>
            <w:r>
              <w:rPr>
                <w:rFonts w:hint="eastAsia" w:ascii="宋体" w:hAnsi="宋体" w:cs="宋体"/>
                <w:b/>
                <w:kern w:val="0"/>
                <w:sz w:val="20"/>
                <w:szCs w:val="20"/>
                <w:lang w:bidi="ar"/>
              </w:rPr>
              <w:t>0</w:t>
            </w:r>
          </w:p>
        </w:tc>
      </w:tr>
      <w:tr>
        <w:tblPrEx>
          <w:tblLayout w:type="fixed"/>
          <w:tblCellMar>
            <w:top w:w="0" w:type="dxa"/>
            <w:left w:w="0" w:type="dxa"/>
            <w:bottom w:w="0" w:type="dxa"/>
            <w:right w:w="0" w:type="dxa"/>
          </w:tblCellMar>
        </w:tblPrEx>
        <w:trPr>
          <w:trHeight w:val="340" w:hRule="atLeast"/>
          <w:jc w:val="center"/>
        </w:trPr>
        <w:tc>
          <w:tcPr>
            <w:tcW w:w="8821"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b/>
              </w:rPr>
            </w:pPr>
            <w:r>
              <w:rPr>
                <w:rFonts w:hint="eastAsia" w:ascii="宋体" w:hAnsi="宋体" w:cs="宋体"/>
                <w:b/>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1991"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信息内容</w:t>
            </w:r>
          </w:p>
        </w:tc>
        <w:tc>
          <w:tcPr>
            <w:tcW w:w="6830"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1991"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行政事业性收费</w:t>
            </w:r>
          </w:p>
        </w:tc>
        <w:tc>
          <w:tcPr>
            <w:tcW w:w="6830" w:type="dxa"/>
            <w:gridSpan w:val="3"/>
            <w:tcBorders>
              <w:top w:val="nil"/>
              <w:left w:val="nil"/>
              <w:bottom w:val="single" w:color="auto" w:sz="8" w:space="0"/>
              <w:right w:val="single" w:color="000000" w:sz="8" w:space="0"/>
            </w:tcBorders>
            <w:tcMar>
              <w:left w:w="57" w:type="dxa"/>
              <w:right w:w="57" w:type="dxa"/>
            </w:tcMar>
            <w:vAlign w:val="center"/>
          </w:tcPr>
          <w:p>
            <w:pPr>
              <w:ind w:firstLine="241" w:firstLineChars="100"/>
              <w:rPr>
                <w:rFonts w:ascii="宋体"/>
                <w:b/>
                <w:sz w:val="24"/>
              </w:rPr>
            </w:pPr>
            <w:r>
              <w:rPr>
                <w:rFonts w:hint="eastAsia" w:ascii="宋体"/>
                <w:b/>
                <w:sz w:val="24"/>
              </w:rPr>
              <w:t>0</w:t>
            </w:r>
          </w:p>
        </w:tc>
      </w:tr>
    </w:tbl>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三、收到和处理政府信息公开申请情况 </w:t>
      </w:r>
    </w:p>
    <w:tbl>
      <w:tblPr>
        <w:tblStyle w:val="4"/>
        <w:tblW w:w="898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59"/>
        <w:gridCol w:w="1154"/>
        <w:gridCol w:w="2587"/>
        <w:gridCol w:w="825"/>
        <w:gridCol w:w="569"/>
        <w:gridCol w:w="569"/>
        <w:gridCol w:w="569"/>
        <w:gridCol w:w="569"/>
        <w:gridCol w:w="569"/>
        <w:gridCol w:w="6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75" w:hRule="atLeast"/>
        </w:trPr>
        <w:tc>
          <w:tcPr>
            <w:tcW w:w="470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（本列数据的勾稽关系为：第一项加第二项之和，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等于第三项加第四项之和）</w:t>
            </w:r>
          </w:p>
        </w:tc>
        <w:tc>
          <w:tcPr>
            <w:tcW w:w="4285"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5" w:hRule="atLeast"/>
        </w:trPr>
        <w:tc>
          <w:tcPr>
            <w:tcW w:w="47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82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自然人</w:t>
            </w:r>
          </w:p>
        </w:tc>
        <w:tc>
          <w:tcPr>
            <w:tcW w:w="284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法人或其他组织</w:t>
            </w:r>
          </w:p>
        </w:tc>
        <w:tc>
          <w:tcPr>
            <w:tcW w:w="61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085" w:hRule="atLeast"/>
        </w:trPr>
        <w:tc>
          <w:tcPr>
            <w:tcW w:w="47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8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商业企业</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科研机构</w:t>
            </w:r>
          </w:p>
        </w:tc>
        <w:tc>
          <w:tcPr>
            <w:tcW w:w="56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社会公益组织</w:t>
            </w:r>
          </w:p>
        </w:tc>
        <w:tc>
          <w:tcPr>
            <w:tcW w:w="56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法律服务机构</w:t>
            </w:r>
          </w:p>
        </w:tc>
        <w:tc>
          <w:tcPr>
            <w:tcW w:w="56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其他</w:t>
            </w:r>
          </w:p>
        </w:tc>
        <w:tc>
          <w:tcPr>
            <w:tcW w:w="61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25" w:hRule="atLeast"/>
        </w:trPr>
        <w:tc>
          <w:tcPr>
            <w:tcW w:w="470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一、本年新收政府信息公开申请数量</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16  </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80" w:hRule="atLeast"/>
        </w:trPr>
        <w:tc>
          <w:tcPr>
            <w:tcW w:w="470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二、上年结转政府信息公开申请数量</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4</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5" w:hRule="atLeast"/>
        </w:trPr>
        <w:tc>
          <w:tcPr>
            <w:tcW w:w="959"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三、本年度办理结果</w:t>
            </w:r>
          </w:p>
        </w:tc>
        <w:tc>
          <w:tcPr>
            <w:tcW w:w="3741"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（一）予以公开</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3</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3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3741"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（二）部分公开（区分处理的，只计这一情形，不计其他情形）</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6</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6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（三）不予公开</w:t>
            </w: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1.属于国家秘密</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2.其他法律行政法规禁止公开</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80"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3.危及“三安全一稳定”</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20"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4.保护第三方合法权益</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0"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5.属于三类内部事务信息</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0"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6.属于四类过程性信息</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0"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7.属于行政执法案卷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8.属于行政查询事项</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4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（四）无法提供</w:t>
            </w: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1.本机关不掌握相关政府信息</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9</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2.没有现成信息需要另行制作</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60"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3.补正后申请内容仍不明确</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6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（五）不予处理</w:t>
            </w: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1.信访举报投诉类申请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20"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2.重复申请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0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3.要求提供公开出版物</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6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4.无正当理由大量反复申请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10"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5.要求行政机关确认或重新出具已获取信息</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93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（六）其他处理</w:t>
            </w:r>
          </w:p>
        </w:tc>
        <w:tc>
          <w:tcPr>
            <w:tcW w:w="2587"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1.申请人无正当理由逾期不补正、行政机关不再处理其政府信息公开申请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63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2.申请人逾期未按收费通知要求缴纳费用、行政机关不再处理其政府信息公开申请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3.其他</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3741"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（七）总计</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15" w:hRule="atLeast"/>
        </w:trPr>
        <w:tc>
          <w:tcPr>
            <w:tcW w:w="470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四、结转下年度继续办理</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bl>
    <w:p>
      <w:pPr>
        <w:pStyle w:val="3"/>
        <w:keepNext w:val="0"/>
        <w:keepLines w:val="0"/>
        <w:widowControl/>
        <w:suppressLineNumbers w:val="0"/>
        <w:spacing w:before="0" w:beforeAutospacing="0" w:after="0" w:afterAutospacing="0" w:line="420" w:lineRule="atLeast"/>
        <w:ind w:left="0" w:right="0" w:firstLine="42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四、政府信息公开行政复议、行政诉讼情况</w:t>
      </w:r>
    </w:p>
    <w:tbl>
      <w:tblPr>
        <w:tblStyle w:val="4"/>
        <w:tblW w:w="9054" w:type="dxa"/>
        <w:tblInd w:w="-11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45"/>
        <w:gridCol w:w="690"/>
        <w:gridCol w:w="630"/>
        <w:gridCol w:w="628"/>
        <w:gridCol w:w="392"/>
        <w:gridCol w:w="543"/>
        <w:gridCol w:w="642"/>
        <w:gridCol w:w="462"/>
        <w:gridCol w:w="738"/>
        <w:gridCol w:w="606"/>
        <w:gridCol w:w="634"/>
        <w:gridCol w:w="634"/>
        <w:gridCol w:w="470"/>
        <w:gridCol w:w="620"/>
        <w:gridCol w:w="7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45" w:hRule="atLeast"/>
        </w:trPr>
        <w:tc>
          <w:tcPr>
            <w:tcW w:w="2985" w:type="dxa"/>
            <w:gridSpan w:val="5"/>
            <w:tcBorders>
              <w:top w:val="single" w:color="000000" w:sz="6" w:space="0"/>
              <w:left w:val="single" w:color="000000" w:sz="6" w:space="0"/>
              <w:bottom w:val="single" w:color="auto" w:sz="4" w:space="0"/>
              <w:right w:val="single" w:color="000000" w:sz="6" w:space="0"/>
            </w:tcBorders>
            <w:shd w:val="clear" w:color="auto" w:fill="auto"/>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行政复议</w:t>
            </w:r>
          </w:p>
        </w:tc>
        <w:tc>
          <w:tcPr>
            <w:tcW w:w="6069" w:type="dxa"/>
            <w:gridSpan w:val="10"/>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5" w:hRule="atLeast"/>
        </w:trPr>
        <w:tc>
          <w:tcPr>
            <w:tcW w:w="645" w:type="dxa"/>
            <w:vMerge w:val="restart"/>
            <w:tcBorders>
              <w:top w:val="single" w:color="auto" w:sz="4" w:space="0"/>
              <w:left w:val="single" w:color="auto" w:sz="4" w:space="0"/>
              <w:bottom w:val="single" w:color="auto" w:sz="4"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维持</w:t>
            </w:r>
          </w:p>
        </w:tc>
        <w:tc>
          <w:tcPr>
            <w:tcW w:w="690" w:type="dxa"/>
            <w:vMerge w:val="restart"/>
            <w:tcBorders>
              <w:top w:val="single" w:color="auto" w:sz="4" w:space="0"/>
              <w:left w:val="nil"/>
              <w:bottom w:val="single" w:color="auto" w:sz="4"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纠正</w:t>
            </w:r>
          </w:p>
        </w:tc>
        <w:tc>
          <w:tcPr>
            <w:tcW w:w="630" w:type="dxa"/>
            <w:vMerge w:val="restart"/>
            <w:tcBorders>
              <w:top w:val="single" w:color="auto" w:sz="4" w:space="0"/>
              <w:left w:val="nil"/>
              <w:bottom w:val="single" w:color="auto" w:sz="4"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其他 结果</w:t>
            </w:r>
          </w:p>
        </w:tc>
        <w:tc>
          <w:tcPr>
            <w:tcW w:w="628" w:type="dxa"/>
            <w:vMerge w:val="restart"/>
            <w:tcBorders>
              <w:top w:val="single" w:color="auto" w:sz="4" w:space="0"/>
              <w:left w:val="nil"/>
              <w:bottom w:val="single" w:color="auto" w:sz="4"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审结</w:t>
            </w:r>
          </w:p>
        </w:tc>
        <w:tc>
          <w:tcPr>
            <w:tcW w:w="392" w:type="dxa"/>
            <w:vMerge w:val="restar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计</w:t>
            </w:r>
          </w:p>
        </w:tc>
        <w:tc>
          <w:tcPr>
            <w:tcW w:w="2991" w:type="dxa"/>
            <w:gridSpan w:val="5"/>
            <w:tcBorders>
              <w:top w:val="single" w:color="000000" w:sz="6" w:space="0"/>
              <w:left w:val="single" w:color="auto" w:sz="4"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未经复议直接起诉</w:t>
            </w:r>
          </w:p>
        </w:tc>
        <w:tc>
          <w:tcPr>
            <w:tcW w:w="3078" w:type="dxa"/>
            <w:gridSpan w:val="5"/>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0" w:hRule="atLeast"/>
        </w:trPr>
        <w:tc>
          <w:tcPr>
            <w:tcW w:w="645" w:type="dxa"/>
            <w:vMerge w:val="continue"/>
            <w:tcBorders>
              <w:top w:val="single" w:color="auto" w:sz="4" w:space="0"/>
              <w:left w:val="single" w:color="auto" w:sz="4" w:space="0"/>
              <w:bottom w:val="single" w:color="auto" w:sz="4" w:space="0"/>
              <w:right w:val="single" w:color="000000" w:sz="6" w:space="0"/>
            </w:tcBorders>
            <w:shd w:val="clear" w:color="auto" w:fill="auto"/>
            <w:tcMar>
              <w:top w:w="0" w:type="dxa"/>
              <w:left w:w="0" w:type="dxa"/>
              <w:bottom w:w="0" w:type="dxa"/>
              <w:right w:w="0" w:type="dxa"/>
            </w:tcMar>
            <w:vAlign w:val="center"/>
          </w:tcPr>
          <w:p>
            <w:pPr>
              <w:rPr>
                <w:rFonts w:hint="default" w:ascii="宋体" w:hAnsi="宋体" w:cs="宋体" w:eastAsiaTheme="minorEastAsia"/>
                <w:b/>
                <w:kern w:val="0"/>
                <w:sz w:val="20"/>
                <w:szCs w:val="20"/>
                <w:lang w:val="en-US" w:eastAsia="zh-CN" w:bidi="ar"/>
              </w:rPr>
            </w:pPr>
          </w:p>
        </w:tc>
        <w:tc>
          <w:tcPr>
            <w:tcW w:w="690" w:type="dxa"/>
            <w:vMerge w:val="continue"/>
            <w:tcBorders>
              <w:top w:val="single" w:color="auto" w:sz="4" w:space="0"/>
              <w:left w:val="nil"/>
              <w:bottom w:val="single" w:color="auto" w:sz="4" w:space="0"/>
              <w:right w:val="single" w:color="000000" w:sz="6" w:space="0"/>
            </w:tcBorders>
            <w:shd w:val="clear" w:color="auto" w:fill="auto"/>
            <w:tcMar>
              <w:top w:w="0" w:type="dxa"/>
              <w:left w:w="0" w:type="dxa"/>
              <w:bottom w:w="0" w:type="dxa"/>
              <w:right w:w="0" w:type="dxa"/>
            </w:tcMar>
            <w:vAlign w:val="center"/>
          </w:tcPr>
          <w:p>
            <w:pPr>
              <w:rPr>
                <w:rFonts w:hint="default" w:ascii="宋体" w:hAnsi="宋体" w:cs="宋体" w:eastAsiaTheme="minorEastAsia"/>
                <w:b/>
                <w:kern w:val="0"/>
                <w:sz w:val="20"/>
                <w:szCs w:val="20"/>
                <w:lang w:val="en-US" w:eastAsia="zh-CN" w:bidi="ar"/>
              </w:rPr>
            </w:pPr>
          </w:p>
        </w:tc>
        <w:tc>
          <w:tcPr>
            <w:tcW w:w="630" w:type="dxa"/>
            <w:vMerge w:val="continue"/>
            <w:tcBorders>
              <w:top w:val="single" w:color="auto" w:sz="4" w:space="0"/>
              <w:left w:val="nil"/>
              <w:bottom w:val="single" w:color="auto" w:sz="4" w:space="0"/>
              <w:right w:val="single" w:color="000000" w:sz="6" w:space="0"/>
            </w:tcBorders>
            <w:shd w:val="clear" w:color="auto" w:fill="auto"/>
            <w:tcMar>
              <w:top w:w="0" w:type="dxa"/>
              <w:left w:w="0" w:type="dxa"/>
              <w:bottom w:w="0" w:type="dxa"/>
              <w:right w:w="0" w:type="dxa"/>
            </w:tcMar>
            <w:vAlign w:val="center"/>
          </w:tcPr>
          <w:p>
            <w:pPr>
              <w:rPr>
                <w:rFonts w:hint="default" w:ascii="宋体" w:hAnsi="宋体" w:cs="宋体" w:eastAsiaTheme="minorEastAsia"/>
                <w:b/>
                <w:kern w:val="0"/>
                <w:sz w:val="20"/>
                <w:szCs w:val="20"/>
                <w:lang w:val="en-US" w:eastAsia="zh-CN" w:bidi="ar"/>
              </w:rPr>
            </w:pPr>
          </w:p>
        </w:tc>
        <w:tc>
          <w:tcPr>
            <w:tcW w:w="628" w:type="dxa"/>
            <w:vMerge w:val="continue"/>
            <w:tcBorders>
              <w:top w:val="single" w:color="auto" w:sz="4" w:space="0"/>
              <w:left w:val="nil"/>
              <w:bottom w:val="single" w:color="auto" w:sz="4" w:space="0"/>
              <w:right w:val="single" w:color="000000" w:sz="6" w:space="0"/>
            </w:tcBorders>
            <w:shd w:val="clear" w:color="auto" w:fill="auto"/>
            <w:tcMar>
              <w:top w:w="0" w:type="dxa"/>
              <w:left w:w="0" w:type="dxa"/>
              <w:bottom w:w="0" w:type="dxa"/>
              <w:right w:w="0" w:type="dxa"/>
            </w:tcMar>
            <w:vAlign w:val="center"/>
          </w:tcPr>
          <w:p>
            <w:pPr>
              <w:rPr>
                <w:rFonts w:hint="default" w:ascii="宋体" w:hAnsi="宋体" w:cs="宋体" w:eastAsiaTheme="minorEastAsia"/>
                <w:b/>
                <w:kern w:val="0"/>
                <w:sz w:val="20"/>
                <w:szCs w:val="20"/>
                <w:lang w:val="en-US" w:eastAsia="zh-CN" w:bidi="ar"/>
              </w:rPr>
            </w:pPr>
          </w:p>
        </w:tc>
        <w:tc>
          <w:tcPr>
            <w:tcW w:w="392" w:type="dxa"/>
            <w:vMerge w:val="continue"/>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rPr>
                <w:rFonts w:hint="default" w:ascii="宋体" w:hAnsi="宋体" w:cs="宋体" w:eastAsiaTheme="minorEastAsia"/>
                <w:b/>
                <w:kern w:val="0"/>
                <w:sz w:val="20"/>
                <w:szCs w:val="20"/>
                <w:lang w:val="en-US" w:eastAsia="zh-CN" w:bidi="ar"/>
              </w:rPr>
            </w:pPr>
          </w:p>
        </w:tc>
        <w:tc>
          <w:tcPr>
            <w:tcW w:w="543" w:type="dxa"/>
            <w:tcBorders>
              <w:top w:val="nil"/>
              <w:left w:val="single" w:color="auto" w:sz="4"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维持</w:t>
            </w:r>
          </w:p>
        </w:tc>
        <w:tc>
          <w:tcPr>
            <w:tcW w:w="642"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纠正</w:t>
            </w:r>
          </w:p>
        </w:tc>
        <w:tc>
          <w:tcPr>
            <w:tcW w:w="462"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其他 结果</w:t>
            </w:r>
          </w:p>
        </w:tc>
        <w:tc>
          <w:tcPr>
            <w:tcW w:w="738"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审结</w:t>
            </w:r>
          </w:p>
        </w:tc>
        <w:tc>
          <w:tcPr>
            <w:tcW w:w="606"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 xml:space="preserve">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计</w:t>
            </w:r>
          </w:p>
        </w:tc>
        <w:tc>
          <w:tcPr>
            <w:tcW w:w="634"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维持</w:t>
            </w:r>
          </w:p>
        </w:tc>
        <w:tc>
          <w:tcPr>
            <w:tcW w:w="634"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纠正</w:t>
            </w:r>
          </w:p>
        </w:tc>
        <w:tc>
          <w:tcPr>
            <w:tcW w:w="47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其他 结果</w:t>
            </w:r>
          </w:p>
        </w:tc>
        <w:tc>
          <w:tcPr>
            <w:tcW w:w="62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审结</w:t>
            </w:r>
          </w:p>
        </w:tc>
        <w:tc>
          <w:tcPr>
            <w:tcW w:w="72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75" w:hRule="atLeast"/>
        </w:trPr>
        <w:tc>
          <w:tcPr>
            <w:tcW w:w="645" w:type="dxa"/>
            <w:tcBorders>
              <w:top w:val="single" w:color="auto" w:sz="4"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90" w:type="dxa"/>
            <w:tcBorders>
              <w:top w:val="single" w:color="auto" w:sz="4"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30" w:type="dxa"/>
            <w:tcBorders>
              <w:top w:val="single" w:color="auto" w:sz="4"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28" w:type="dxa"/>
            <w:tcBorders>
              <w:top w:val="single" w:color="auto" w:sz="4"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392" w:type="dxa"/>
            <w:tcBorders>
              <w:top w:val="single" w:color="auto" w:sz="4"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4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42"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462"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738"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0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3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3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47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2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72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bl>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五、存在的主要问题及改进情况</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(一)存在的主要问题</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2022年，全县政务公开工作实现新突破，取得新成绩，但还存在一些不足：一是公开内容不够全面，政务公开内容的深度和广度还不够。二是政策解读的规范性还有待加强，解读方式还不丰富，解读质量还需提高。</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(二)改进情况</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一是进一步发挥好门户网站及时、权威、全面、准确发布政府信息的平台作用。充分运用新媒体手段拓宽信息传播渠道，加强内容和技术保障，将门户网站信息公开专栏打造成更加全面的信息公开平台。二是出台规范政策解读的相关文件，丰富政策解读形式，统筹运用文稿解读、专家解读、政策问答、卡通动漫、图解图表、新闻发布会等形式进行政策解读，着力提高政策解读质量。</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六、其他需要报告的事项</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(一)依据《政府信息公开信息处理费管理办法》收取信息处理费的情况需在此专门报告;</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2022年，微山县人民政府办公室未收取任何信息处理费。</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(二)本行政机关落实上级年度政务公开工作要点情况;</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一是严格落实2022年度济宁市政务公开工作要点，县政府办公室制发了《2022年微山县政务公开工作任务分解表》，紧跟上级要求，进一步细化政务公开年度任务目标，明确责任主体加强督导检查。</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二是做好基层政务公开标准化规范化建设。根据国家部委新增试点领域，组织各相关部门、单位编制并公开发布自然资源、交通运输、旅游、广播电视、新闻出版版权、统计、水利等领域事项标准目录，由原来的26个领域标准目录增加为31个。</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三是组织落实企事业单位信息公开工作。根据市政务公开工作部署安排，组织微山县35个企事业单位在教育、医疗、水、电、气、热、公共交通7个领域内做好信息公开工作，共计公开信息2000余条。</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四是做山东省政府文件库数据对接工作，将我县156个政策文件进行统一调整和整理，进一步规范了文件存档工作。</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(三)本行政机关人大代表建议和政协提案办理结果公开情况;</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县十九届人大一次会议以来，围绕全县改革发展稳定大局和群众关心关注的热点难点问题，共提议案建议99件，主要涉及城市建设、实体经济发展、民生改善、乡村振兴、文旅融合等方面，分别占总数的23%、21%、20%、12%、7%，经过县政府和各承办单位的共同努力，所有议案建议全部办复完毕，办复率达100%，满意和基本满意率达100%。</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县政协十一届一次会议期间（2022年），共收到委员提案262件，提案审查委员会审查立案254件。经过县政协提案委和县委、县政府“两办”督查室跟踪督办，各承办单位已将提案答复反馈到提案人手中，办复率100%。</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(四)本行政机关年度政务公开工作创新情况;</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研究探索依申请公开创新举措，2022年微山县人民政府办公室印发了《关于开展政府信息依申请公开备案工作的通知》，在全市率先试行依申请公开备案制。</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(五)本行政机关政府信息公开工作年度报告数据统计需要说明的事项;</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无</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(六)本行政机关认为需要报告的其他事项;</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无</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(七)其他有关文件专门要求通过政府信息公开工作年度报告予以报告的事项。</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无</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xNWFiYjkzYTIxZjAyNGU1YjcyNzNjYjAxMWVhZmEifQ=="/>
  </w:docVars>
  <w:rsids>
    <w:rsidRoot w:val="2DC964FD"/>
    <w:rsid w:val="06E55ECD"/>
    <w:rsid w:val="0792358A"/>
    <w:rsid w:val="2DC964FD"/>
    <w:rsid w:val="32900770"/>
    <w:rsid w:val="42A43BAC"/>
    <w:rsid w:val="4EA5111C"/>
    <w:rsid w:val="69AE4B57"/>
    <w:rsid w:val="72EA0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3455</Words>
  <Characters>3603</Characters>
  <Lines>0</Lines>
  <Paragraphs>0</Paragraphs>
  <TotalTime>8</TotalTime>
  <ScaleCrop>false</ScaleCrop>
  <LinksUpToDate>false</LinksUpToDate>
  <CharactersWithSpaces>3630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2023-02-06T06:23:00Z</dcterms:created>
  <dc:creator>Administrator</dc:creator>
  <cp:lastModifiedBy>Administrator</cp:lastModifiedBy>
  <dcterms:modified xsi:type="dcterms:W3CDTF">2025-03-25T07:56:25Z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3DEFD63BD8604588A7DEE844A134EC93</vt:lpwstr>
  </property>
</Properties>
</file>