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微山县傅村街道办事处202</w:t>
      </w:r>
      <w:r>
        <w:rPr>
          <w:rFonts w:hint="default" w:ascii="Times New Roman" w:hAnsi="Times New Roman" w:eastAsia="方正小标宋简体" w:cs="Times New Roman"/>
          <w:b/>
          <w:bCs/>
          <w:i w:val="0"/>
          <w:iCs w:val="0"/>
          <w:caps w:val="0"/>
          <w:color w:val="000000"/>
          <w:spacing w:val="0"/>
          <w:sz w:val="44"/>
          <w:szCs w:val="44"/>
          <w:shd w:val="clear" w:fill="FFFFFF"/>
          <w:lang w:val="en-US" w:eastAsia="zh-CN"/>
        </w:rPr>
        <w:t>2</w:t>
      </w:r>
      <w:r>
        <w:rPr>
          <w:rFonts w:hint="default" w:ascii="Times New Roman" w:hAnsi="Times New Roman" w:eastAsia="方正小标宋简体" w:cs="Times New Roman"/>
          <w:b/>
          <w:bCs/>
          <w:i w:val="0"/>
          <w:iCs w:val="0"/>
          <w:caps w:val="0"/>
          <w:color w:val="000000"/>
          <w:spacing w:val="0"/>
          <w:sz w:val="44"/>
          <w:szCs w:val="44"/>
          <w:shd w:val="clear" w:fill="FFFFFF"/>
        </w:rPr>
        <w:t>年政府信息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公开工作年度报告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黑体" w:cs="Times New Roman"/>
          <w:b/>
          <w:bCs/>
          <w:i w:val="0"/>
          <w:iCs w:val="0"/>
          <w:caps w:val="0"/>
          <w:color w:val="000000"/>
          <w:spacing w:val="0"/>
          <w:sz w:val="31"/>
          <w:szCs w:val="31"/>
          <w:shd w:val="clear" w:fill="FFFFFF"/>
        </w:rPr>
      </w:pP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微山县傅村街道办事处</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本报告所列数据的统计期限自202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年1月1日起至202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中国•微山</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门户网站（http://www.weishan.gov.cn/col/col26934/index.html）查阅或下载。如对本报告有疑问，请与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微山县傅村街道办事处</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微山县傅村街道富源路1号</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8581002</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一、总体情况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2022年，在县委、县政府的正确领导下，我街道继续加大政务公开范围。通过切实加强组织领导、不断完善监督机制、拓展规范公开内容，不断增强政府工作透明度，增强群众的民主意识和机关干部的服务意识。政务公开工作取得了良好的成效。现报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（一）主动公开情况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2022年1月1日至2022年12月31日，傅村街道办事处主动公开政府信息113条，其中工作动态47条、通知公告41条、会议公开11条、乡镇文件3条、机构设置1条、行政权力1条、预算决算3条、集中采购1条、业务培训3条、公开指南1条、信息公开年报1条。政务新媒体中微信公众号共计发布258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drawing>
          <wp:inline distT="0" distB="0" distL="114300" distR="114300">
            <wp:extent cx="5095875" cy="3819525"/>
            <wp:effectExtent l="0" t="0" r="9525"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095875" cy="3819525"/>
                    </a:xfrm>
                    <a:prstGeom prst="rect">
                      <a:avLst/>
                    </a:prstGeom>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（二）依申请公开情况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傅村街道办事处受理依申请公开0件。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（三）政府信息管理情况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村街道办事处进一步完善政务公开领导机制。充实和调整政务公开工作领导小组，统一负责街道政务公开工作的组织实施。具体日常工作由政务公开办公室主要负责，落实政务公开的各项要求。做到了领导、机构、人员“三到位”，同时，我街道把政务公开工作分解到单位内部的有关部门和人员，强化“一把手挂帅、副职领导具体抓、责任到处室、落实到人头”的工作机制。并且建立健全政务公开责任、审议、评议、反馈、备案和监督等六项制度，促进政务公开工作走上制度化、规范化的轨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傅村街道办事处政府信息公开网站首页设有工作动态、通知公告、最新公开、走进傅村四个板块。傅村街道办事处针对公开项目的不同情况，确定公开时间，做到常规性工作定期公开，临时性工作随时公开，固定性工作长期公开。同时坚持把群众最关心的“权、钱、人、事”等事项公开作为政务公开的重点，从信息公开和便民服务两个方面入手，加大推行政务公开的力度。通过推行政务公开，监督和制约行政权力的运行，防止暗箱操作，促进廉政勤政建设，促进政务公开制度的进一步完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（五）监督保障情况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为进一步扩大信息公开工作的影响，傅村街道办事处坚持把推行政务公开工作列入各部门和工作人员尤其是领导干部的廉政责任制和干部年度工作考核</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中</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并将考核结果作为干部任免和奖惩的重要依据。对不按政务公开制度办、“暗箱操作”或搞假公开，只公开一般事项而不公开重点事项和关键环节等违规违纪行为，坚决追究责任。强化监督检查工作，实行定期检查与不定期检查相结合。充分发挥政务公开领导小组作用，定期召开座谈会、听取领导小组成员反映有关情况等形式，为政务公开建言献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二、主动公开政府信息情况</w:t>
      </w:r>
    </w:p>
    <w:tbl>
      <w:tblPr>
        <w:tblStyle w:val="3"/>
        <w:tblW w:w="89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25"/>
        <w:gridCol w:w="2225"/>
        <w:gridCol w:w="2225"/>
        <w:gridCol w:w="22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黑体简体" w:cs="Times New Roman"/>
                <w:b/>
                <w:bCs/>
                <w:color w:val="000000"/>
                <w:sz w:val="24"/>
                <w:szCs w:val="24"/>
              </w:rPr>
            </w:pPr>
            <w:r>
              <w:rPr>
                <w:rFonts w:hint="default" w:ascii="Times New Roman" w:hAnsi="Times New Roman" w:eastAsia="方正黑体简体" w:cs="Times New Roman"/>
                <w:b/>
                <w:bCs/>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本年制发件数</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本年废止件数</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规章</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行政规范性文件</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行政许可</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行政处罚</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行政强制</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600"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行政事业性收费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Style w:val="5"/>
          <w:rFonts w:hint="default" w:ascii="Times New Roman" w:hAnsi="Times New Roman" w:eastAsia="宋体" w:cs="Times New Roman"/>
          <w:b/>
          <w:bCs/>
          <w:i w:val="0"/>
          <w:iCs w:val="0"/>
          <w:caps w:val="0"/>
          <w:color w:val="000000"/>
          <w:spacing w:val="0"/>
          <w:sz w:val="32"/>
          <w:szCs w:val="32"/>
          <w:shd w:val="clear" w:fill="FFFFFF"/>
        </w:rPr>
      </w:pPr>
      <w:r>
        <w:rPr>
          <w:rStyle w:val="5"/>
          <w:rFonts w:hint="default" w:ascii="Times New Roman" w:hAnsi="Times New Roman" w:eastAsia="宋体" w:cs="Times New Roman"/>
          <w:b/>
          <w:bCs/>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三、收到和处理政府信息公开申请情况</w:t>
      </w:r>
    </w:p>
    <w:tbl>
      <w:tblPr>
        <w:tblStyle w:val="3"/>
        <w:tblpPr w:leftFromText="180" w:rightFromText="180" w:vertAnchor="text" w:horzAnchor="page" w:tblpX="1690" w:tblpY="372"/>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
        <w:gridCol w:w="1147"/>
        <w:gridCol w:w="2550"/>
        <w:gridCol w:w="818"/>
        <w:gridCol w:w="559"/>
        <w:gridCol w:w="559"/>
        <w:gridCol w:w="563"/>
        <w:gridCol w:w="559"/>
        <w:gridCol w:w="564"/>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（本列数据的勾稽关系为：第一项加第二项之和，</w:t>
            </w:r>
          </w:p>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等于第三项加第四项之和）</w:t>
            </w:r>
          </w:p>
        </w:tc>
        <w:tc>
          <w:tcPr>
            <w:tcW w:w="407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黑体简体" w:cs="Times New Roman"/>
                <w:b/>
                <w:bCs/>
                <w:sz w:val="21"/>
                <w:szCs w:val="21"/>
              </w:rPr>
            </w:pPr>
          </w:p>
        </w:tc>
        <w:tc>
          <w:tcPr>
            <w:tcW w:w="818"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自然人</w:t>
            </w:r>
          </w:p>
        </w:tc>
        <w:tc>
          <w:tcPr>
            <w:tcW w:w="2804"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法人或其他组织</w:t>
            </w:r>
          </w:p>
        </w:tc>
        <w:tc>
          <w:tcPr>
            <w:tcW w:w="457"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4640" w:type="dxa"/>
            <w:gridSpan w:val="3"/>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c>
          <w:tcPr>
            <w:tcW w:w="818"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商业企业</w:t>
            </w:r>
          </w:p>
        </w:tc>
        <w:tc>
          <w:tcPr>
            <w:tcW w:w="559"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科研机构</w:t>
            </w:r>
          </w:p>
        </w:tc>
        <w:tc>
          <w:tcPr>
            <w:tcW w:w="563"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社会公益组织</w:t>
            </w: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法律服务机构</w:t>
            </w:r>
          </w:p>
        </w:tc>
        <w:tc>
          <w:tcPr>
            <w:tcW w:w="564" w:type="dxa"/>
            <w:shd w:val="clear" w:color="auto" w:fill="auto"/>
            <w:tcMar>
              <w:left w:w="108" w:type="dxa"/>
              <w:right w:w="108" w:type="dxa"/>
            </w:tcMar>
            <w:vAlign w:val="center"/>
          </w:tcPr>
          <w:p>
            <w:pPr>
              <w:widowControl/>
              <w:spacing w:line="260" w:lineRule="exact"/>
              <w:ind w:left="-63" w:leftChars="-30" w:right="-134" w:rightChars="-64"/>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其他</w:t>
            </w:r>
          </w:p>
        </w:tc>
        <w:tc>
          <w:tcPr>
            <w:tcW w:w="457"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w:t>
            </w:r>
            <w:bookmarkStart w:id="0" w:name="_Hlk66973412"/>
            <w:r>
              <w:rPr>
                <w:rFonts w:hint="default" w:ascii="Times New Roman" w:hAnsi="Times New Roman" w:eastAsia="方正仿宋简体" w:cs="Times New Roman"/>
                <w:b/>
                <w:bCs/>
                <w:sz w:val="21"/>
                <w:szCs w:val="21"/>
              </w:rPr>
              <w:t>本年新收政府信息公开申请数量</w:t>
            </w:r>
            <w:bookmarkEnd w:id="0"/>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二、上年结转政府信息公开申请数量</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restart"/>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三、本年度办理结果</w:t>
            </w: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（一）予以公开</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（二）部分公开（</w:t>
            </w:r>
            <w:bookmarkStart w:id="1" w:name="_Hlk66973981"/>
            <w:r>
              <w:rPr>
                <w:rFonts w:hint="default" w:ascii="Times New Roman" w:hAnsi="Times New Roman" w:eastAsia="方正仿宋简体" w:cs="Times New Roman"/>
                <w:b/>
                <w:bCs/>
                <w:sz w:val="21"/>
                <w:szCs w:val="21"/>
              </w:rPr>
              <w:t>区分处理的，只计这一情形，不计其他情形</w:t>
            </w:r>
            <w:bookmarkEnd w:id="1"/>
            <w:r>
              <w:rPr>
                <w:rFonts w:hint="default" w:ascii="Times New Roman" w:hAnsi="Times New Roman" w:eastAsia="方正仿宋简体" w:cs="Times New Roman"/>
                <w:b/>
                <w:bCs/>
                <w:sz w:val="21"/>
                <w:szCs w:val="21"/>
              </w:rPr>
              <w:t>）</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（三）不予公开</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1.属于国家秘密</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2" w:name="_Hlk66974104"/>
            <w:r>
              <w:rPr>
                <w:rFonts w:hint="default" w:ascii="Times New Roman" w:hAnsi="Times New Roman" w:eastAsia="方正仿宋简体" w:cs="Times New Roman"/>
                <w:b/>
                <w:bCs/>
                <w:sz w:val="21"/>
                <w:szCs w:val="21"/>
              </w:rPr>
              <w:t>其他法律行政法规禁止公开</w:t>
            </w:r>
            <w:bookmarkEnd w:id="2"/>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3.危及“三安全一稳定”</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bookmarkStart w:id="3" w:name="_Hlk66974290"/>
            <w:r>
              <w:rPr>
                <w:rFonts w:hint="default" w:ascii="Times New Roman" w:hAnsi="Times New Roman" w:eastAsia="方正仿宋简体" w:cs="Times New Roman"/>
                <w:b/>
                <w:bCs/>
                <w:sz w:val="21"/>
                <w:szCs w:val="21"/>
              </w:rPr>
              <w:t>保护第三方合法权益</w:t>
            </w:r>
            <w:bookmarkEnd w:id="3"/>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5.属于三类内部事务信息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6.</w:t>
            </w:r>
            <w:bookmarkStart w:id="4" w:name="_Hlk66974555"/>
            <w:r>
              <w:rPr>
                <w:rFonts w:hint="default" w:ascii="Times New Roman" w:hAnsi="Times New Roman" w:eastAsia="方正仿宋简体" w:cs="Times New Roman"/>
                <w:b/>
                <w:bCs/>
                <w:sz w:val="21"/>
                <w:szCs w:val="21"/>
              </w:rPr>
              <w:t>属于四类过程性信息</w:t>
            </w:r>
            <w:bookmarkEnd w:id="4"/>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7.属于行政执法案卷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8.</w:t>
            </w:r>
            <w:bookmarkStart w:id="5" w:name="_Hlk66975211"/>
            <w:r>
              <w:rPr>
                <w:rFonts w:hint="default" w:ascii="Times New Roman" w:hAnsi="Times New Roman" w:eastAsia="方正仿宋简体" w:cs="Times New Roman"/>
                <w:b/>
                <w:bCs/>
                <w:sz w:val="21"/>
                <w:szCs w:val="21"/>
              </w:rPr>
              <w:t>属于行政查询事项</w:t>
            </w:r>
            <w:bookmarkEnd w:id="5"/>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（四）无法提供</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1.本机关不掌握相关政府信息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6" w:name="_Hlk66975392"/>
            <w:r>
              <w:rPr>
                <w:rFonts w:hint="default" w:ascii="Times New Roman" w:hAnsi="Times New Roman" w:eastAsia="方正仿宋简体" w:cs="Times New Roman"/>
                <w:b/>
                <w:bCs/>
                <w:sz w:val="21"/>
                <w:szCs w:val="21"/>
              </w:rPr>
              <w:t>没有现成信息需要另行制作</w:t>
            </w:r>
            <w:bookmarkEnd w:id="6"/>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bookmarkStart w:id="7" w:name="_Hlk66975466"/>
            <w:r>
              <w:rPr>
                <w:rFonts w:hint="default" w:ascii="Times New Roman" w:hAnsi="Times New Roman" w:eastAsia="方正仿宋简体" w:cs="Times New Roman"/>
                <w:b/>
                <w:bCs/>
                <w:spacing w:val="-8"/>
                <w:sz w:val="21"/>
                <w:szCs w:val="21"/>
              </w:rPr>
              <w:t>补正后申请内容仍不明确</w:t>
            </w:r>
            <w:bookmarkEnd w:id="7"/>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（五）不予处理</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bookmarkStart w:id="8" w:name="_Hlk66975537"/>
            <w:r>
              <w:rPr>
                <w:rFonts w:hint="default" w:ascii="Times New Roman" w:hAnsi="Times New Roman" w:eastAsia="方正仿宋简体" w:cs="Times New Roman"/>
                <w:b/>
                <w:bCs/>
                <w:sz w:val="21"/>
                <w:szCs w:val="21"/>
              </w:rPr>
              <w:t>信访举报投诉类申请</w:t>
            </w:r>
            <w:bookmarkEnd w:id="8"/>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2.重复申请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3.要求提供公开出版物</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r>
              <w:rPr>
                <w:rFonts w:hint="default" w:ascii="Times New Roman" w:hAnsi="Times New Roman" w:eastAsia="方正仿宋简体" w:cs="Times New Roman"/>
                <w:b/>
                <w:bCs/>
                <w:spacing w:val="-8"/>
                <w:sz w:val="21"/>
                <w:szCs w:val="21"/>
              </w:rPr>
              <w:t>无正当理由大量反复申请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5.要求行政机关确认或重新出具已获取信息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（六）其他处理</w:t>
            </w: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1.申请人无正当理由逾期不补正、行政机关不再处理其政府信息公开申请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2.申请人逾期未按收费通知要求缴纳费用、行政机关不再处理其政府信息公开申请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3.其他</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（七）总计</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四、结转下年度继续办理</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四、政府信息公开行政复议、行政诉讼情况</w:t>
      </w:r>
    </w:p>
    <w:tbl>
      <w:tblPr>
        <w:tblStyle w:val="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602"/>
        <w:gridCol w:w="602"/>
        <w:gridCol w:w="602"/>
        <w:gridCol w:w="481"/>
        <w:gridCol w:w="548"/>
        <w:gridCol w:w="603"/>
        <w:gridCol w:w="603"/>
        <w:gridCol w:w="603"/>
        <w:gridCol w:w="580"/>
        <w:gridCol w:w="603"/>
        <w:gridCol w:w="603"/>
        <w:gridCol w:w="603"/>
        <w:gridCol w:w="604"/>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88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行政复议</w:t>
            </w:r>
          </w:p>
        </w:tc>
        <w:tc>
          <w:tcPr>
            <w:tcW w:w="5910" w:type="dxa"/>
            <w:gridSpan w:val="10"/>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2"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维持</w:t>
            </w:r>
          </w:p>
        </w:tc>
        <w:tc>
          <w:tcPr>
            <w:tcW w:w="602"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2"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其他结果</w:t>
            </w:r>
          </w:p>
        </w:tc>
        <w:tc>
          <w:tcPr>
            <w:tcW w:w="602"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481"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w:t>
            </w:r>
          </w:p>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计</w:t>
            </w:r>
          </w:p>
        </w:tc>
        <w:tc>
          <w:tcPr>
            <w:tcW w:w="2937"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未经复议直接起诉</w:t>
            </w:r>
          </w:p>
        </w:tc>
        <w:tc>
          <w:tcPr>
            <w:tcW w:w="297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bookmarkStart w:id="9" w:name="_Hlk67039688"/>
            <w:r>
              <w:rPr>
                <w:rFonts w:hint="default" w:ascii="Times New Roman" w:hAnsi="Times New Roman" w:eastAsia="方正黑体简体" w:cs="Times New Roman"/>
                <w:b/>
                <w:bCs/>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481"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548" w:type="dxa"/>
            <w:shd w:val="clear" w:color="auto" w:fill="auto"/>
            <w:tcMar>
              <w:left w:w="108" w:type="dxa"/>
              <w:right w:w="108" w:type="dxa"/>
            </w:tcMar>
            <w:vAlign w:val="center"/>
          </w:tcPr>
          <w:p>
            <w:pPr>
              <w:widowControl/>
              <w:spacing w:line="320" w:lineRule="exact"/>
              <w:ind w:left="-105" w:leftChars="-50" w:right="-126" w:rightChars="-6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pPr>
              <w:widowControl/>
              <w:spacing w:line="320" w:lineRule="exact"/>
              <w:ind w:left="-86" w:leftChars="-41" w:right="-88" w:rightChars="-42"/>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3" w:type="dxa"/>
            <w:shd w:val="clear" w:color="auto" w:fill="auto"/>
            <w:tcMar>
              <w:left w:w="108" w:type="dxa"/>
              <w:right w:w="108" w:type="dxa"/>
            </w:tcMar>
            <w:vAlign w:val="center"/>
          </w:tcPr>
          <w:p>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3" w:type="dxa"/>
            <w:shd w:val="clear" w:color="auto" w:fill="auto"/>
            <w:tcMar>
              <w:left w:w="108" w:type="dxa"/>
              <w:right w:w="108" w:type="dxa"/>
            </w:tcMar>
            <w:vAlign w:val="center"/>
          </w:tcPr>
          <w:p>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580"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c>
          <w:tcPr>
            <w:tcW w:w="603" w:type="dxa"/>
            <w:shd w:val="clear" w:color="auto" w:fill="auto"/>
            <w:tcMar>
              <w:left w:w="108" w:type="dxa"/>
              <w:right w:w="108" w:type="dxa"/>
            </w:tcMar>
            <w:vAlign w:val="center"/>
          </w:tcPr>
          <w:p>
            <w:pPr>
              <w:widowControl/>
              <w:spacing w:line="320" w:lineRule="exact"/>
              <w:ind w:left="-99" w:leftChars="-47" w:right="-78" w:rightChars="-37"/>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纠正</w:t>
            </w:r>
          </w:p>
        </w:tc>
        <w:tc>
          <w:tcPr>
            <w:tcW w:w="603" w:type="dxa"/>
            <w:shd w:val="clear" w:color="auto" w:fill="auto"/>
            <w:tcMar>
              <w:left w:w="108" w:type="dxa"/>
              <w:right w:w="108" w:type="dxa"/>
            </w:tcMar>
            <w:vAlign w:val="center"/>
          </w:tcPr>
          <w:p>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4"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尚未审结</w:t>
            </w:r>
          </w:p>
        </w:tc>
        <w:tc>
          <w:tcPr>
            <w:tcW w:w="560"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481"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4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8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6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Times New Roman" w:hAnsi="Times New Roman" w:eastAsia="sans-serif" w:cs="Times New Roman"/>
          <w:b/>
          <w:bCs/>
          <w:i w:val="0"/>
          <w:iCs w:val="0"/>
          <w:caps w:val="0"/>
          <w:color w:val="000000"/>
          <w:spacing w:val="0"/>
          <w:sz w:val="21"/>
          <w:szCs w:val="21"/>
        </w:rPr>
      </w:pPr>
      <w:r>
        <w:rPr>
          <w:rStyle w:val="5"/>
          <w:rFonts w:hint="default" w:ascii="Times New Roman" w:hAnsi="Times New Roman" w:eastAsia="宋体" w:cs="Times New Roman"/>
          <w:b/>
          <w:bCs/>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sans-serif"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shd w:val="clear"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一是认识不够到位。对政府信息公开工作重要性的认识不到位，工作积极性、主动性有待加强。二是部分信息公开不及时</w:t>
      </w:r>
      <w:r>
        <w:rPr>
          <w:rFonts w:hint="eastAsia" w:ascii="Times New Roman" w:hAnsi="Times New Roman" w:eastAsia="方正仿宋简体" w:cs="Times New Roman"/>
          <w:b/>
          <w:bCs/>
          <w:i w:val="0"/>
          <w:iCs w:val="0"/>
          <w:caps w:val="0"/>
          <w:color w:val="333333"/>
          <w:spacing w:val="0"/>
          <w:kern w:val="0"/>
          <w:sz w:val="32"/>
          <w:szCs w:val="32"/>
          <w:shd w:val="clear" w:fill="FFFFFF"/>
          <w:lang w:val="en-US" w:eastAsia="zh-CN" w:bidi="ar"/>
        </w:rPr>
        <w:t>，</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未能全部按照时间节点公开。下一步我们将加强有关人员培训，进一步提高信息工作人员的业务水平，更好地服务于社会。一是进一步提高业务公开能力和水平，自上而下压实传导政务公开工作责任，规范标准公开，提升信息公开质量。二是继续完善长效工作机制，在现有的政府信息公开工作基础上</w:t>
      </w:r>
      <w:r>
        <w:rPr>
          <w:rFonts w:hint="eastAsia" w:ascii="Times New Roman" w:hAnsi="Times New Roman" w:eastAsia="方正仿宋简体" w:cs="Times New Roman"/>
          <w:b/>
          <w:bCs/>
          <w:i w:val="0"/>
          <w:iCs w:val="0"/>
          <w:caps w:val="0"/>
          <w:color w:val="333333"/>
          <w:spacing w:val="0"/>
          <w:kern w:val="0"/>
          <w:sz w:val="32"/>
          <w:szCs w:val="32"/>
          <w:shd w:val="clear" w:fill="FFFFFF"/>
          <w:lang w:val="en-US" w:eastAsia="zh-CN" w:bidi="ar"/>
        </w:rPr>
        <w:t>，</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不断总结经验</w:t>
      </w:r>
      <w:r>
        <w:rPr>
          <w:rFonts w:hint="eastAsia" w:ascii="Times New Roman" w:hAnsi="Times New Roman" w:eastAsia="方正仿宋简体" w:cs="Times New Roman"/>
          <w:b/>
          <w:bCs/>
          <w:i w:val="0"/>
          <w:iCs w:val="0"/>
          <w:caps w:val="0"/>
          <w:color w:val="333333"/>
          <w:spacing w:val="0"/>
          <w:kern w:val="0"/>
          <w:sz w:val="32"/>
          <w:szCs w:val="32"/>
          <w:shd w:val="clear" w:fill="FFFFFF"/>
          <w:lang w:val="en-US" w:eastAsia="zh-CN" w:bidi="ar"/>
        </w:rPr>
        <w:t>，</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确保政府信息公开工作制度化、规范化，做到深入、持续、高效地开展政府信息公开工作。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（一）收取信息处理费情况。</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2022年度，本单位没有产生信息公开处理费。</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（二）落实上年度政务公开工作要点情况</w:t>
      </w:r>
      <w:r>
        <w:rPr>
          <w:rFonts w:hint="eastAsia" w:ascii="Times New Roman" w:hAnsi="Times New Roman" w:eastAsia="方正楷体简体" w:cs="Times New Roman"/>
          <w:b/>
          <w:bCs/>
          <w:i w:val="0"/>
          <w:iCs w:val="0"/>
          <w:caps w:val="0"/>
          <w:color w:val="333333"/>
          <w:spacing w:val="0"/>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严格按照上年度政务公开工作要点，结合自身工作，认真做好政务公开工作，及时发布相关政策信息，确保政务公开工作成效。</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w:t>
      </w:r>
      <w:r>
        <w:rPr>
          <w:rFonts w:hint="eastAsia" w:ascii="Times New Roman" w:hAnsi="Times New Roman" w:eastAsia="方正楷体简体" w:cs="Times New Roman"/>
          <w:b/>
          <w:bCs/>
          <w:i w:val="0"/>
          <w:iCs w:val="0"/>
          <w:caps w:val="0"/>
          <w:color w:val="333333"/>
          <w:spacing w:val="0"/>
          <w:kern w:val="0"/>
          <w:sz w:val="32"/>
          <w:szCs w:val="32"/>
          <w:shd w:val="clear" w:fill="FFFFFF"/>
          <w:lang w:val="en-US" w:eastAsia="zh-CN" w:bidi="ar"/>
        </w:rPr>
        <w:t>三</w:t>
      </w: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）本行政机关人大代表建议和政协提案办理结果公开情况。</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2022年，本单位共收到县政协十一届一次会议第70号“关于进一步提高安置房物业服务水平”和第202号“关于系统规划压煤村庄搬迁、加快新村建设”2件，提案在规定期限内办复完毕，办复率100%，满意和基本满意率100%；未收到人大建议信息。</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（四）本行政机关政府信息公开工作年度报告数据统计需要说明的事项。</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本报告所列数据的统计期限自2022年1月1日起至2022年12月31日止。</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（五）本行政机关年度政务公开工作创新情况。</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充分发挥互联网传播快、效率高、受众广的优势，利用微信群、政务公开网站、新媒体，加大信息公开力度，提高街道政务工作的透明度，切实保障群众对政府工作的知情权。</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（六）本行政机关认为需要报告的其他事项。</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无</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val="en-US" w:eastAsia="zh-CN"/>
        </w:rPr>
        <w:t>（七）其他有关文件专门要求通过政府信息公开工作年度报告予以报告。</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无</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bookmarkStart w:id="10" w:name="_GoBack"/>
      <w:bookmarkEnd w:id="10"/>
    </w:p>
    <w:p>
      <w:pPr>
        <w:pStyle w:val="2"/>
        <w:keepNext w:val="0"/>
        <w:keepLines w:val="0"/>
        <w:widowControl/>
        <w:suppressLineNumbers w:val="0"/>
        <w:shd w:val="clear" w:fill="FFFFFF"/>
        <w:wordWrap w:val="0"/>
        <w:spacing w:before="0" w:beforeAutospacing="0" w:after="0" w:afterAutospacing="0" w:line="420" w:lineRule="atLeast"/>
        <w:ind w:left="0" w:right="0" w:firstLine="645"/>
        <w:jc w:val="right"/>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 xml:space="preserve">微山县傅村街道办事处   </w:t>
      </w:r>
    </w:p>
    <w:p>
      <w:pPr>
        <w:pStyle w:val="2"/>
        <w:keepNext w:val="0"/>
        <w:keepLines w:val="0"/>
        <w:widowControl/>
        <w:suppressLineNumbers w:val="0"/>
        <w:spacing w:before="0" w:beforeAutospacing="0" w:after="0" w:afterAutospacing="0" w:line="600" w:lineRule="atLeast"/>
        <w:ind w:left="0" w:right="0" w:firstLine="705"/>
        <w:jc w:val="center"/>
        <w:rPr>
          <w:rFonts w:hint="default" w:ascii="Times New Roman" w:hAnsi="Times New Roman" w:cs="Times New Roman"/>
          <w:b/>
          <w:bCs/>
          <w:lang w:val="en-US"/>
        </w:rPr>
      </w:pPr>
      <w:r>
        <w:rPr>
          <w:rFonts w:hint="default" w:ascii="Times New Roman" w:hAnsi="Times New Roman" w:eastAsia="仿宋_GB2312" w:cs="Times New Roman"/>
          <w:b/>
          <w:bCs/>
          <w:i w:val="0"/>
          <w:iCs w:val="0"/>
          <w:caps w:val="0"/>
          <w:color w:val="000000"/>
          <w:spacing w:val="0"/>
          <w:sz w:val="32"/>
          <w:szCs w:val="32"/>
          <w:lang w:val="en-US" w:eastAsia="zh-CN"/>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2023</w:t>
      </w:r>
      <w:r>
        <w:rPr>
          <w:rFonts w:hint="default" w:ascii="Times New Roman" w:hAnsi="Times New Roman" w:eastAsia="仿宋_GB2312" w:cs="Times New Roman"/>
          <w:b/>
          <w:bCs/>
          <w:i w:val="0"/>
          <w:iCs w:val="0"/>
          <w:caps w:val="0"/>
          <w:color w:val="000000"/>
          <w:spacing w:val="0"/>
          <w:sz w:val="32"/>
          <w:szCs w:val="32"/>
          <w:lang w:val="en-US" w:eastAsia="zh-CN"/>
        </w:rPr>
        <w:t>年</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i w:val="0"/>
          <w:iCs w:val="0"/>
          <w:caps w:val="0"/>
          <w:color w:val="000000"/>
          <w:spacing w:val="0"/>
          <w:sz w:val="32"/>
          <w:szCs w:val="32"/>
          <w:lang w:val="en-US" w:eastAsia="zh-CN"/>
        </w:rPr>
        <w:t>月</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28</w:t>
      </w:r>
      <w:r>
        <w:rPr>
          <w:rFonts w:hint="default" w:ascii="Times New Roman" w:hAnsi="Times New Roman" w:eastAsia="仿宋_GB2312" w:cs="Times New Roman"/>
          <w:b/>
          <w:bCs/>
          <w:i w:val="0"/>
          <w:iCs w:val="0"/>
          <w:caps w:val="0"/>
          <w:color w:val="000000"/>
          <w:spacing w:val="0"/>
          <w:sz w:val="32"/>
          <w:szCs w:val="32"/>
          <w:lang w:val="en-US" w:eastAsia="zh-CN"/>
        </w:rPr>
        <w:t xml:space="preserve">日  </w:t>
      </w:r>
    </w:p>
    <w:p>
      <w:pPr>
        <w:rPr>
          <w:rFonts w:hint="default" w:ascii="Times New Roman" w:hAnsi="Times New Roman" w:cs="Times New Roman"/>
          <w:b/>
          <w:bCs/>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jRhYTc5YTM3MzM0YmEyOTY1OTY4M2ZmYmY0Y2MifQ=="/>
  </w:docVars>
  <w:rsids>
    <w:rsidRoot w:val="2C285E5E"/>
    <w:rsid w:val="0DB50097"/>
    <w:rsid w:val="0EE028CC"/>
    <w:rsid w:val="1EF50A88"/>
    <w:rsid w:val="21A734D8"/>
    <w:rsid w:val="25F74012"/>
    <w:rsid w:val="2C285E5E"/>
    <w:rsid w:val="3A4F0932"/>
    <w:rsid w:val="65FF4C5D"/>
    <w:rsid w:val="6CDA686A"/>
    <w:rsid w:val="6E777D91"/>
    <w:rsid w:val="7C0D1471"/>
    <w:rsid w:val="7C7F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2899</Words>
  <Characters>3038</Characters>
  <Lines>0</Lines>
  <Paragraphs>0</Paragraphs>
  <TotalTime>232</TotalTime>
  <ScaleCrop>false</ScaleCrop>
  <LinksUpToDate>false</LinksUpToDate>
  <CharactersWithSpaces>3070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2023-01-28T06:57:00Z</dcterms:created>
  <dc:creator>诠释</dc:creator>
  <cp:lastModifiedBy>诠释</cp:lastModifiedBy>
  <dcterms:modified xsi:type="dcterms:W3CDTF">2023-02-13T06:33:58Z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5163F394D7EE4AEBBBA576F4D8389740</vt:lpwstr>
  </property>
</Properties>
</file>