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333333"/>
          <w:spacing w:val="0"/>
          <w:sz w:val="44"/>
          <w:szCs w:val="44"/>
        </w:rPr>
      </w:pPr>
      <w:r>
        <w:rPr>
          <w:rFonts w:hint="eastAsia" w:ascii="方正小标宋简体" w:hAnsi="方正小标宋简体" w:eastAsia="方正小标宋简体" w:cs="方正小标宋简体"/>
          <w:color w:val="333333"/>
          <w:spacing w:val="0"/>
          <w:sz w:val="44"/>
          <w:szCs w:val="44"/>
        </w:rPr>
        <w:t>微山县供销</w:t>
      </w:r>
      <w:r>
        <w:rPr>
          <w:rFonts w:hint="eastAsia" w:ascii="方正小标宋简体" w:hAnsi="方正小标宋简体" w:eastAsia="方正小标宋简体" w:cs="方正小标宋简体"/>
          <w:color w:val="333333"/>
          <w:spacing w:val="0"/>
          <w:sz w:val="44"/>
          <w:szCs w:val="44"/>
          <w:lang w:val="en-US" w:eastAsia="zh-CN"/>
        </w:rPr>
        <w:t>合作社联合社</w:t>
      </w:r>
      <w:r>
        <w:rPr>
          <w:rFonts w:hint="eastAsia" w:ascii="方正小标宋简体" w:hAnsi="方正小标宋简体" w:eastAsia="方正小标宋简体" w:cs="方正小标宋简体"/>
          <w:color w:val="333333"/>
          <w:spacing w:val="0"/>
          <w:sz w:val="44"/>
          <w:szCs w:val="44"/>
        </w:rPr>
        <w:t>202</w:t>
      </w:r>
      <w:r>
        <w:rPr>
          <w:rFonts w:hint="eastAsia" w:ascii="方正小标宋简体" w:hAnsi="方正小标宋简体" w:eastAsia="方正小标宋简体" w:cs="方正小标宋简体"/>
          <w:color w:val="333333"/>
          <w:spacing w:val="0"/>
          <w:sz w:val="44"/>
          <w:szCs w:val="44"/>
          <w:lang w:val="en-US" w:eastAsia="zh-CN"/>
        </w:rPr>
        <w:t>2</w:t>
      </w:r>
      <w:r>
        <w:rPr>
          <w:rFonts w:hint="eastAsia" w:ascii="方正小标宋简体" w:hAnsi="方正小标宋简体" w:eastAsia="方正小标宋简体" w:cs="方正小标宋简体"/>
          <w:color w:val="333333"/>
          <w:spacing w:val="0"/>
          <w:sz w:val="44"/>
          <w:szCs w:val="44"/>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20" w:firstLineChars="200"/>
        <w:jc w:val="both"/>
        <w:textAlignment w:val="auto"/>
      </w:pPr>
      <w:r>
        <w:rPr>
          <w:rFonts w:ascii="仿宋" w:hAnsi="仿宋" w:eastAsia="仿宋" w:cs="仿宋"/>
          <w:color w:val="333333"/>
          <w:spacing w:val="0"/>
          <w:sz w:val="31"/>
          <w:szCs w:val="31"/>
        </w:rPr>
        <w:t>本报告由微山县供销合作社联合社按照《中华人民共和国政府信息公开条例》（以下简称《条例》）和《中华人民共和国政府信息公开工作年度报告格式》（国办公开办函〔2021〕30号）要求编制。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仿宋" w:hAnsi="仿宋" w:eastAsia="仿宋" w:cs="仿宋"/>
          <w:color w:val="333333"/>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仿宋" w:hAnsi="仿宋" w:eastAsia="仿宋" w:cs="仿宋"/>
          <w:color w:val="333333"/>
          <w:spacing w:val="0"/>
          <w:sz w:val="31"/>
          <w:szCs w:val="31"/>
        </w:rPr>
        <w:t>本报告所列数据的统计期限自2022年1月1日起至2022年12月31日止。本报告电子版可在“中国·微山”政府门户网站（http://www.weishan.gov.cn/）查阅或下载。如对本报告有疑问，请与微山县供销合作社联合社联系（地址：微山县戚城街49号，联系电话：0537-8222366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rPr>
          <w:rFonts w:hint="eastAsia" w:ascii="黑体" w:hAnsi="黑体" w:eastAsia="黑体" w:cs="黑体"/>
        </w:rPr>
      </w:pPr>
      <w:r>
        <w:rPr>
          <w:rFonts w:hint="eastAsia" w:ascii="黑体" w:hAnsi="黑体" w:eastAsia="黑体" w:cs="黑体"/>
          <w:color w:val="333333"/>
          <w:spacing w:val="0"/>
          <w:sz w:val="31"/>
          <w:szCs w:val="31"/>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仿宋" w:hAnsi="仿宋" w:eastAsia="仿宋" w:cs="仿宋"/>
          <w:color w:val="333333"/>
          <w:spacing w:val="0"/>
          <w:sz w:val="31"/>
          <w:szCs w:val="31"/>
        </w:rPr>
        <w:t>2022年，微山县供销合作社联合社深入贯彻《条例》精神，按照政府信息公开工作有关要求，进一步加大公开力度，提高政府信息公开效率，为全县供销工作高质量发展提供信息保障。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楷体" w:hAnsi="楷体" w:eastAsia="楷体" w:cs="楷体"/>
          <w:color w:val="333333"/>
          <w:spacing w:val="0"/>
          <w:sz w:val="31"/>
          <w:szCs w:val="31"/>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rPr>
          <w:rFonts w:hint="eastAsia" w:ascii="仿宋" w:hAnsi="仿宋" w:eastAsia="仿宋" w:cs="仿宋"/>
          <w:color w:val="333333"/>
          <w:spacing w:val="0"/>
          <w:sz w:val="31"/>
          <w:szCs w:val="31"/>
        </w:rPr>
      </w:pPr>
      <w:r>
        <w:rPr>
          <w:rFonts w:hint="eastAsia" w:ascii="仿宋" w:hAnsi="仿宋" w:eastAsia="仿宋" w:cs="仿宋"/>
          <w:color w:val="333333"/>
          <w:spacing w:val="0"/>
          <w:sz w:val="31"/>
          <w:szCs w:val="31"/>
        </w:rPr>
        <w:t>为保障群众的知情权、参与权、表达权和监督权，县供销社不断扩大政府信息公开范围和拓宽信息公开渠道，及时更新群众关注度高的供销社综合改革信息。2022年，我单位主动公开政府信息</w:t>
      </w:r>
      <w:r>
        <w:rPr>
          <w:rFonts w:hint="eastAsia" w:ascii="仿宋" w:hAnsi="仿宋" w:eastAsia="仿宋" w:cs="仿宋"/>
          <w:color w:val="333333"/>
          <w:spacing w:val="0"/>
          <w:sz w:val="31"/>
          <w:szCs w:val="31"/>
          <w:lang w:val="en-US" w:eastAsia="zh-CN"/>
        </w:rPr>
        <w:t>96</w:t>
      </w:r>
      <w:r>
        <w:rPr>
          <w:rFonts w:hint="eastAsia" w:ascii="仿宋" w:hAnsi="仿宋" w:eastAsia="仿宋" w:cs="仿宋"/>
          <w:color w:val="333333"/>
          <w:spacing w:val="0"/>
          <w:sz w:val="31"/>
          <w:szCs w:val="31"/>
        </w:rPr>
        <w:t>条</w:t>
      </w:r>
      <w:r>
        <w:rPr>
          <w:rFonts w:hint="eastAsia" w:ascii="仿宋" w:hAnsi="仿宋" w:eastAsia="仿宋" w:cs="仿宋"/>
          <w:color w:val="333333"/>
          <w:spacing w:val="0"/>
          <w:sz w:val="31"/>
          <w:szCs w:val="31"/>
          <w:lang w:eastAsia="zh-CN"/>
        </w:rPr>
        <w:t>，</w:t>
      </w:r>
      <w:r>
        <w:rPr>
          <w:rFonts w:hint="eastAsia" w:ascii="仿宋" w:hAnsi="仿宋" w:eastAsia="仿宋" w:cs="仿宋"/>
          <w:color w:val="333333"/>
          <w:spacing w:val="0"/>
          <w:sz w:val="31"/>
          <w:szCs w:val="31"/>
          <w:lang w:val="en-US" w:eastAsia="zh-CN"/>
        </w:rPr>
        <w:t>其中通过县政府门户网站公开2条，其他政务新媒体公开94条</w:t>
      </w:r>
      <w:r>
        <w:rPr>
          <w:rFonts w:hint="eastAsia" w:ascii="仿宋" w:hAnsi="仿宋" w:eastAsia="仿宋" w:cs="仿宋"/>
          <w:color w:val="333333"/>
          <w:spacing w:val="0"/>
          <w:sz w:val="31"/>
          <w:szCs w:val="3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rPr>
          <w:rFonts w:hint="eastAsia" w:ascii="仿宋" w:hAnsi="仿宋" w:eastAsia="仿宋" w:cs="仿宋"/>
          <w:color w:val="333333"/>
          <w:spacing w:val="0"/>
          <w:sz w:val="31"/>
          <w:szCs w:val="31"/>
          <w:lang w:eastAsia="zh-CN"/>
        </w:rPr>
      </w:pPr>
      <w:bookmarkStart w:id="0" w:name="_GoBack"/>
      <w:bookmarkEnd w:id="0"/>
      <w:r>
        <w:rPr>
          <w:rFonts w:hint="eastAsia" w:ascii="仿宋" w:hAnsi="仿宋" w:eastAsia="仿宋" w:cs="仿宋"/>
          <w:color w:val="333333"/>
          <w:spacing w:val="0"/>
          <w:sz w:val="31"/>
          <w:szCs w:val="31"/>
          <w:lang w:eastAsia="zh-CN"/>
        </w:rPr>
        <w:drawing>
          <wp:anchor distT="0" distB="0" distL="114300" distR="114300" simplePos="0" relativeHeight="251659264" behindDoc="0" locked="0" layoutInCell="1" allowOverlap="1">
            <wp:simplePos x="0" y="0"/>
            <wp:positionH relativeFrom="column">
              <wp:posOffset>760095</wp:posOffset>
            </wp:positionH>
            <wp:positionV relativeFrom="paragraph">
              <wp:posOffset>309245</wp:posOffset>
            </wp:positionV>
            <wp:extent cx="3613150" cy="2618740"/>
            <wp:effectExtent l="4445" t="4445" r="20955" b="5715"/>
            <wp:wrapTopAndBottom/>
            <wp:docPr id="2" name="图表 2" descr="7b0a202020202263686172745265734964223a20223436343939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楷体" w:hAnsi="楷体" w:eastAsia="楷体" w:cs="楷体"/>
          <w:color w:val="333333"/>
          <w:spacing w:val="0"/>
          <w:sz w:val="31"/>
          <w:szCs w:val="31"/>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仿宋" w:hAnsi="仿宋" w:eastAsia="仿宋" w:cs="仿宋"/>
          <w:color w:val="333333"/>
          <w:spacing w:val="0"/>
          <w:sz w:val="31"/>
          <w:szCs w:val="31"/>
        </w:rPr>
        <w:t>2022年，县供销社未收到依申请公开信息。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楷体" w:hAnsi="楷体" w:eastAsia="楷体" w:cs="楷体"/>
          <w:color w:val="333333"/>
          <w:spacing w:val="0"/>
          <w:sz w:val="31"/>
          <w:szCs w:val="31"/>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仿宋" w:hAnsi="仿宋" w:eastAsia="仿宋" w:cs="仿宋"/>
          <w:color w:val="333333"/>
          <w:spacing w:val="0"/>
          <w:sz w:val="31"/>
          <w:szCs w:val="31"/>
        </w:rPr>
        <w:t>加强信息人员队伍建设，提升其综合素质能力。同时，按照分工职责，明确专人进行信息汇总上报，并严格政府信息公开审核机制，确保发布信息规范准确。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楷体" w:hAnsi="楷体" w:eastAsia="楷体" w:cs="楷体"/>
          <w:color w:val="333333"/>
          <w:spacing w:val="0"/>
          <w:sz w:val="31"/>
          <w:szCs w:val="31"/>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仿宋" w:hAnsi="仿宋" w:eastAsia="仿宋" w:cs="仿宋"/>
          <w:color w:val="333333"/>
          <w:spacing w:val="0"/>
          <w:sz w:val="31"/>
          <w:szCs w:val="31"/>
        </w:rPr>
        <w:t>县供销社积极组织网站管理培训，有效提高相关人员的业务能力和服务水平。按照工作职责，确定专人负责网站的运行与后台的维护，按时更新栏目内容，将网站打造成及时、准确、公开透明的信息发布平台。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楷体" w:hAnsi="楷体" w:eastAsia="楷体" w:cs="楷体"/>
          <w:color w:val="333333"/>
          <w:spacing w:val="0"/>
          <w:sz w:val="31"/>
          <w:szCs w:val="31"/>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仿宋" w:hAnsi="仿宋" w:eastAsia="仿宋" w:cs="仿宋"/>
          <w:color w:val="333333"/>
          <w:spacing w:val="0"/>
          <w:sz w:val="31"/>
          <w:szCs w:val="31"/>
        </w:rPr>
        <w:t>强化组织领导，健全完善各项制度。建立健全政府信息公开工作各项制度，及时调整政务公开领导小组，政务公开工作由主要负责人亲自抓，分管领导负责抓，业务科室具体抓，定期召开会议研究部署具体工作，明确责任分工，确保政务公开工作有序开展。积极参加县级政务公开工作专题培训，提高相关工作人员的业务知识，及时将群众最关心的热点、难点问题有关政策解读在网上进行公开，确保政务公开信息准确、及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480" w:firstLineChars="200"/>
        <w:jc w:val="both"/>
        <w:textAlignment w:val="auto"/>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0" w:firstLineChars="200"/>
        <w:jc w:val="both"/>
        <w:rPr>
          <w:sz w:val="21"/>
          <w:szCs w:val="21"/>
        </w:rPr>
      </w:pPr>
      <w:r>
        <w:rPr>
          <w:rFonts w:ascii="黑体" w:hAnsi="宋体" w:eastAsia="黑体" w:cs="黑体"/>
          <w:sz w:val="31"/>
          <w:szCs w:val="31"/>
        </w:rPr>
        <w:t>二、主动公开政府信息情况</w:t>
      </w:r>
    </w:p>
    <w:tbl>
      <w:tblPr>
        <w:tblStyle w:val="3"/>
        <w:tblW w:w="882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05"/>
        <w:gridCol w:w="2205"/>
        <w:gridCol w:w="2205"/>
        <w:gridCol w:w="22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blCellSpacing w:w="0" w:type="dxa"/>
          <w:jc w:val="center"/>
        </w:trPr>
        <w:tc>
          <w:tcPr>
            <w:tcW w:w="882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信息内容</w:t>
            </w:r>
          </w:p>
        </w:tc>
        <w:tc>
          <w:tcPr>
            <w:tcW w:w="2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本年制发件数</w:t>
            </w:r>
          </w:p>
        </w:tc>
        <w:tc>
          <w:tcPr>
            <w:tcW w:w="2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本年废止件数</w:t>
            </w:r>
          </w:p>
        </w:tc>
        <w:tc>
          <w:tcPr>
            <w:tcW w:w="2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规章</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行政规范性文件</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信息内容</w:t>
            </w:r>
          </w:p>
        </w:tc>
        <w:tc>
          <w:tcPr>
            <w:tcW w:w="661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行政许可</w:t>
            </w:r>
          </w:p>
        </w:tc>
        <w:tc>
          <w:tcPr>
            <w:tcW w:w="661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信息内容</w:t>
            </w:r>
          </w:p>
        </w:tc>
        <w:tc>
          <w:tcPr>
            <w:tcW w:w="661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行政处罚</w:t>
            </w:r>
          </w:p>
        </w:tc>
        <w:tc>
          <w:tcPr>
            <w:tcW w:w="661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行政强制</w:t>
            </w:r>
          </w:p>
        </w:tc>
        <w:tc>
          <w:tcPr>
            <w:tcW w:w="661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信息内容</w:t>
            </w:r>
          </w:p>
        </w:tc>
        <w:tc>
          <w:tcPr>
            <w:tcW w:w="661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blCellSpacing w:w="0" w:type="dxa"/>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行政事业性收费</w:t>
            </w:r>
          </w:p>
        </w:tc>
        <w:tc>
          <w:tcPr>
            <w:tcW w:w="661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345" w:lineRule="atLeast"/>
              <w:jc w:val="center"/>
              <w:rPr>
                <w:sz w:val="21"/>
                <w:szCs w:val="21"/>
              </w:rPr>
            </w:pPr>
            <w:r>
              <w:rPr>
                <w:rFonts w:hint="eastAsia" w:ascii="宋体" w:hAnsi="宋体" w:eastAsia="宋体" w:cs="宋体"/>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rPr>
          <w:rFonts w:hint="eastAsia" w:ascii="黑体" w:hAnsi="黑体" w:eastAsia="黑体" w:cs="黑体"/>
          <w:color w:val="333333"/>
          <w:spacing w:val="0"/>
          <w:sz w:val="31"/>
          <w:szCs w:val="31"/>
        </w:rPr>
      </w:pPr>
      <w:r>
        <w:rPr>
          <w:rFonts w:hint="eastAsia" w:ascii="黑体" w:hAnsi="黑体" w:eastAsia="黑体" w:cs="黑体"/>
          <w:color w:val="333333"/>
          <w:spacing w:val="0"/>
          <w:sz w:val="31"/>
          <w:szCs w:val="31"/>
        </w:rPr>
        <w:t>三、收到和处理政府信息公开申请情况</w:t>
      </w:r>
    </w:p>
    <w:tbl>
      <w:tblPr>
        <w:tblStyle w:val="3"/>
        <w:tblW w:w="820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0"/>
        <w:gridCol w:w="945"/>
        <w:gridCol w:w="1909"/>
        <w:gridCol w:w="637"/>
        <w:gridCol w:w="594"/>
        <w:gridCol w:w="666"/>
        <w:gridCol w:w="752"/>
        <w:gridCol w:w="766"/>
        <w:gridCol w:w="651"/>
        <w:gridCol w:w="5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0" w:type="dxa"/>
          <w:jc w:val="center"/>
        </w:trPr>
        <w:tc>
          <w:tcPr>
            <w:tcW w:w="352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（本列数据的勾稽关系为：第一项加第二项之和，等于第三项加第四项之和）</w:t>
            </w:r>
          </w:p>
        </w:tc>
        <w:tc>
          <w:tcPr>
            <w:tcW w:w="4680"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blCellSpacing w:w="0" w:type="dxa"/>
          <w:jc w:val="center"/>
        </w:trPr>
        <w:tc>
          <w:tcPr>
            <w:tcW w:w="352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自</w:t>
            </w: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然</w:t>
            </w: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人</w:t>
            </w:r>
          </w:p>
        </w:tc>
        <w:tc>
          <w:tcPr>
            <w:tcW w:w="346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法人或其他组织</w:t>
            </w:r>
          </w:p>
        </w:tc>
        <w:tc>
          <w:tcPr>
            <w:tcW w:w="5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35" w:hRule="atLeast"/>
          <w:tblCellSpacing w:w="0" w:type="dxa"/>
          <w:jc w:val="center"/>
        </w:trPr>
        <w:tc>
          <w:tcPr>
            <w:tcW w:w="352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商业企业</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科研机构</w:t>
            </w:r>
          </w:p>
        </w:tc>
        <w:tc>
          <w:tcPr>
            <w:tcW w:w="7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社会公益组织</w:t>
            </w:r>
          </w:p>
        </w:tc>
        <w:tc>
          <w:tcPr>
            <w:tcW w:w="7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法律服务机构</w:t>
            </w:r>
          </w:p>
        </w:tc>
        <w:tc>
          <w:tcPr>
            <w:tcW w:w="6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其他</w:t>
            </w:r>
          </w:p>
        </w:tc>
        <w:tc>
          <w:tcPr>
            <w:tcW w:w="5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352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一、本年新收政府信息公开申请数量</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352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二、上年结转政府信息公开申请数量</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blCellSpacing w:w="0" w:type="dxa"/>
          <w:jc w:val="center"/>
        </w:trPr>
        <w:tc>
          <w:tcPr>
            <w:tcW w:w="7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三、本年度办理结果</w:t>
            </w:r>
          </w:p>
        </w:tc>
        <w:tc>
          <w:tcPr>
            <w:tcW w:w="280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（一）予以公开</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1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0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（二）部分公开（区分处理的，只计这一情形，不计其他情形）</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（三）不</w:t>
            </w: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予</w:t>
            </w: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公</w:t>
            </w: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开</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1.属于国家秘密</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1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2.其他法律行政法规禁止公开</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3.危及“三安全一稳定”</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4.保护第三方合法权益</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5.属于三类内部事务信息</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6.属于四类过程性信息</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7.属于行政执法案卷</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8.属于行政查询事项</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1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（四）无法提供</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1.本机关不掌握相关政府信息</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1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2.没有现成信息需要另行制作</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3.补正后申请内容仍不明确</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（五）不予处理</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1.信访举报投诉类申请</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2.重复申请</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3.要求提供公开出版物</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4.无正当理由大量反复申请</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45"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5.要求行政机关确认或重新出具已获取信息</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0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（六）其他处理</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5"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0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（七）总计</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blCellSpacing w:w="0" w:type="dxa"/>
          <w:jc w:val="center"/>
        </w:trPr>
        <w:tc>
          <w:tcPr>
            <w:tcW w:w="352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四、结转下年度继续办理</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宋体" w:hAnsi="宋体" w:eastAsia="宋体" w:cs="宋体"/>
          <w:color w:val="333333"/>
          <w:spacing w:val="0"/>
          <w:sz w:val="31"/>
          <w:szCs w:val="31"/>
        </w:rPr>
        <w:t> </w:t>
      </w:r>
      <w:r>
        <w:rPr>
          <w:rFonts w:hint="eastAsia" w:ascii="黑体" w:hAnsi="宋体" w:eastAsia="黑体" w:cs="黑体"/>
          <w:color w:val="333333"/>
          <w:spacing w:val="0"/>
          <w:sz w:val="31"/>
          <w:szCs w:val="31"/>
        </w:rPr>
        <w:t>四、政府信息公开行政复议、行政诉讼情况</w:t>
      </w:r>
    </w:p>
    <w:tbl>
      <w:tblPr>
        <w:tblStyle w:val="3"/>
        <w:tblW w:w="90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default" w:ascii="Times New Roman" w:hAnsi="Times New Roman" w:cs="Times New Roman"/>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right="0" w:firstLine="680" w:firstLineChars="200"/>
        <w:textAlignment w:val="auto"/>
      </w:pPr>
      <w:r>
        <w:rPr>
          <w:rFonts w:hint="eastAsia" w:ascii="黑体" w:hAnsi="宋体" w:eastAsia="黑体" w:cs="黑体"/>
          <w:color w:val="333333"/>
          <w:spacing w:val="15"/>
          <w:sz w:val="31"/>
          <w:szCs w:val="31"/>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rPr>
          <w:rFonts w:hint="eastAsia" w:ascii="仿宋" w:hAnsi="仿宋" w:eastAsia="仿宋" w:cs="仿宋"/>
          <w:color w:val="333333"/>
          <w:spacing w:val="0"/>
          <w:sz w:val="31"/>
          <w:szCs w:val="31"/>
          <w:lang w:val="en-US" w:eastAsia="zh-CN"/>
        </w:rPr>
      </w:pPr>
      <w:r>
        <w:rPr>
          <w:rFonts w:hint="eastAsia" w:ascii="仿宋" w:hAnsi="仿宋" w:eastAsia="仿宋" w:cs="仿宋"/>
          <w:color w:val="333333"/>
          <w:spacing w:val="0"/>
          <w:sz w:val="31"/>
          <w:szCs w:val="31"/>
        </w:rPr>
        <w:t> 2022年，政府信息公开工作取得了一定的工作成效，但仍存在一些不容忽视的问题，主要表现在</w:t>
      </w:r>
      <w:r>
        <w:rPr>
          <w:rFonts w:hint="eastAsia" w:ascii="仿宋" w:hAnsi="仿宋" w:eastAsia="仿宋" w:cs="仿宋"/>
          <w:color w:val="333333"/>
          <w:spacing w:val="0"/>
          <w:sz w:val="31"/>
          <w:szCs w:val="31"/>
          <w:lang w:val="en-US" w:eastAsia="zh-CN"/>
        </w:rPr>
        <w:t>对政务公开工作重视程度不高，在公开数量、公开范围和公开方式上存在不足。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20" w:firstLineChars="200"/>
        <w:jc w:val="both"/>
        <w:textAlignment w:val="auto"/>
      </w:pPr>
      <w:r>
        <w:rPr>
          <w:rFonts w:hint="eastAsia" w:ascii="仿宋" w:hAnsi="仿宋" w:eastAsia="仿宋" w:cs="仿宋"/>
          <w:color w:val="333333"/>
          <w:spacing w:val="0"/>
          <w:sz w:val="31"/>
          <w:szCs w:val="31"/>
        </w:rPr>
        <w:t>    针对存在的问题，下一年度县供销社将</w:t>
      </w:r>
      <w:r>
        <w:rPr>
          <w:rFonts w:hint="eastAsia" w:ascii="仿宋" w:hAnsi="仿宋" w:eastAsia="仿宋" w:cs="仿宋"/>
          <w:color w:val="333333"/>
          <w:spacing w:val="0"/>
          <w:sz w:val="31"/>
          <w:szCs w:val="31"/>
          <w:lang w:val="en-US" w:eastAsia="zh-CN"/>
        </w:rPr>
        <w:t>高度重视政务公开工作，</w:t>
      </w:r>
      <w:r>
        <w:rPr>
          <w:rFonts w:hint="eastAsia" w:ascii="仿宋" w:hAnsi="仿宋" w:eastAsia="仿宋" w:cs="仿宋"/>
          <w:color w:val="333333"/>
          <w:spacing w:val="0"/>
          <w:sz w:val="31"/>
          <w:szCs w:val="31"/>
        </w:rPr>
        <w:t>积极主动</w:t>
      </w:r>
      <w:r>
        <w:rPr>
          <w:rFonts w:hint="eastAsia" w:ascii="仿宋" w:hAnsi="仿宋" w:eastAsia="仿宋" w:cs="仿宋"/>
          <w:color w:val="333333"/>
          <w:spacing w:val="0"/>
          <w:sz w:val="31"/>
          <w:szCs w:val="31"/>
          <w:lang w:val="en-US" w:eastAsia="zh-CN"/>
        </w:rPr>
        <w:t>开展</w:t>
      </w:r>
      <w:r>
        <w:rPr>
          <w:rFonts w:hint="eastAsia" w:ascii="仿宋" w:hAnsi="仿宋" w:eastAsia="仿宋" w:cs="仿宋"/>
          <w:color w:val="333333"/>
          <w:spacing w:val="0"/>
          <w:sz w:val="31"/>
          <w:szCs w:val="31"/>
        </w:rPr>
        <w:t>政务公开工作，精心撰稿，增加信息</w:t>
      </w:r>
      <w:r>
        <w:rPr>
          <w:rFonts w:hint="eastAsia" w:ascii="仿宋" w:hAnsi="仿宋" w:eastAsia="仿宋" w:cs="仿宋"/>
          <w:color w:val="333333"/>
          <w:spacing w:val="0"/>
          <w:sz w:val="31"/>
          <w:szCs w:val="31"/>
          <w:lang w:val="en-US" w:eastAsia="zh-CN"/>
        </w:rPr>
        <w:t>公开</w:t>
      </w:r>
      <w:r>
        <w:rPr>
          <w:rFonts w:hint="eastAsia" w:ascii="仿宋" w:hAnsi="仿宋" w:eastAsia="仿宋" w:cs="仿宋"/>
          <w:color w:val="333333"/>
          <w:spacing w:val="0"/>
          <w:sz w:val="31"/>
          <w:szCs w:val="31"/>
        </w:rPr>
        <w:t>数量，提高信息质量；积极向政务公开工作做得比较好的单位学习，丰富借鉴政务公开方式方法，提高工作标准，不断提升政务公开业务水平。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80" w:firstLineChars="200"/>
        <w:jc w:val="both"/>
        <w:textAlignment w:val="auto"/>
      </w:pPr>
      <w:r>
        <w:rPr>
          <w:rFonts w:hint="eastAsia" w:ascii="宋体" w:hAnsi="宋体" w:eastAsia="宋体" w:cs="宋体"/>
          <w:color w:val="333333"/>
          <w:spacing w:val="15"/>
          <w:sz w:val="31"/>
          <w:szCs w:val="31"/>
        </w:rPr>
        <w:t> </w:t>
      </w:r>
      <w:r>
        <w:rPr>
          <w:rFonts w:hint="eastAsia" w:ascii="黑体" w:hAnsi="宋体" w:eastAsia="黑体" w:cs="黑体"/>
          <w:color w:val="333333"/>
          <w:spacing w:val="15"/>
          <w:sz w:val="31"/>
          <w:szCs w:val="31"/>
        </w:rPr>
        <w:t>六、其他需要报告的事项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80" w:firstLineChars="200"/>
        <w:textAlignment w:val="auto"/>
      </w:pPr>
      <w:r>
        <w:rPr>
          <w:rFonts w:hint="eastAsia" w:ascii="楷体" w:hAnsi="楷体" w:eastAsia="楷体" w:cs="楷体"/>
          <w:color w:val="333333"/>
          <w:spacing w:val="15"/>
          <w:sz w:val="31"/>
          <w:szCs w:val="31"/>
        </w:rPr>
        <w:t>（一）收取信息费情况：</w:t>
      </w:r>
      <w:r>
        <w:rPr>
          <w:rFonts w:hint="eastAsia" w:ascii="仿宋" w:hAnsi="仿宋" w:eastAsia="仿宋" w:cs="仿宋"/>
          <w:color w:val="333333"/>
          <w:spacing w:val="15"/>
          <w:sz w:val="31"/>
          <w:szCs w:val="31"/>
        </w:rPr>
        <w:t>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80" w:firstLineChars="200"/>
        <w:textAlignment w:val="auto"/>
      </w:pPr>
      <w:r>
        <w:rPr>
          <w:rFonts w:hint="eastAsia" w:ascii="楷体" w:hAnsi="楷体" w:eastAsia="楷体" w:cs="楷体"/>
          <w:color w:val="333333"/>
          <w:spacing w:val="15"/>
          <w:sz w:val="31"/>
          <w:szCs w:val="31"/>
        </w:rPr>
        <w:t>（二）落实上级年度政务公开工作要点情况：</w:t>
      </w:r>
      <w:r>
        <w:rPr>
          <w:rFonts w:hint="eastAsia" w:ascii="仿宋" w:hAnsi="仿宋" w:eastAsia="仿宋" w:cs="仿宋"/>
          <w:color w:val="333333"/>
          <w:spacing w:val="15"/>
          <w:sz w:val="31"/>
          <w:szCs w:val="31"/>
        </w:rPr>
        <w:t>为提高政府信息公开工作的规范化、制度化和科学化水平，根据政府信息公开工作要点的有关要求，细化分解各项任务同时，建立了信息联络员制度，极大地提升了政务信息报送的质量和水平；</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80" w:firstLineChars="200"/>
        <w:textAlignment w:val="auto"/>
      </w:pPr>
      <w:r>
        <w:rPr>
          <w:rFonts w:hint="eastAsia" w:ascii="楷体" w:hAnsi="楷体" w:eastAsia="楷体" w:cs="楷体"/>
          <w:color w:val="333333"/>
          <w:spacing w:val="15"/>
          <w:sz w:val="31"/>
          <w:szCs w:val="31"/>
        </w:rPr>
        <w:t>（三）代表建议提案办理公开情况：</w:t>
      </w:r>
      <w:r>
        <w:rPr>
          <w:rFonts w:hint="eastAsia" w:ascii="仿宋" w:hAnsi="仿宋" w:eastAsia="仿宋" w:cs="仿宋"/>
          <w:color w:val="333333"/>
          <w:spacing w:val="15"/>
          <w:sz w:val="31"/>
          <w:szCs w:val="31"/>
        </w:rPr>
        <w:t>2022年，县人大代表、政协委员对我单位没有提出建议和提案；</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80" w:firstLineChars="200"/>
        <w:textAlignment w:val="auto"/>
      </w:pPr>
      <w:r>
        <w:rPr>
          <w:rFonts w:hint="eastAsia" w:ascii="楷体" w:hAnsi="楷体" w:eastAsia="楷体" w:cs="楷体"/>
          <w:color w:val="333333"/>
          <w:spacing w:val="15"/>
          <w:sz w:val="31"/>
          <w:szCs w:val="31"/>
        </w:rPr>
        <w:t>（四）政务公开工作创新情况：</w:t>
      </w:r>
      <w:r>
        <w:rPr>
          <w:rFonts w:hint="eastAsia" w:ascii="仿宋" w:hAnsi="仿宋" w:eastAsia="仿宋" w:cs="仿宋"/>
          <w:color w:val="333333"/>
          <w:spacing w:val="15"/>
          <w:sz w:val="31"/>
          <w:szCs w:val="31"/>
        </w:rPr>
        <w:t>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80" w:firstLineChars="200"/>
        <w:textAlignment w:val="auto"/>
      </w:pPr>
      <w:r>
        <w:rPr>
          <w:rFonts w:hint="eastAsia" w:ascii="楷体" w:hAnsi="楷体" w:eastAsia="楷体" w:cs="楷体"/>
          <w:color w:val="333333"/>
          <w:spacing w:val="15"/>
          <w:sz w:val="31"/>
          <w:szCs w:val="31"/>
        </w:rPr>
        <w:t>（五）政府信息公开工作年度报告数据统计需要说明的事项：</w:t>
      </w:r>
      <w:r>
        <w:rPr>
          <w:rFonts w:hint="eastAsia" w:ascii="仿宋" w:hAnsi="仿宋" w:eastAsia="仿宋" w:cs="仿宋"/>
          <w:color w:val="333333"/>
          <w:spacing w:val="15"/>
          <w:sz w:val="31"/>
          <w:szCs w:val="31"/>
        </w:rPr>
        <w:t>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80" w:firstLineChars="200"/>
        <w:textAlignment w:val="auto"/>
      </w:pPr>
      <w:r>
        <w:rPr>
          <w:rFonts w:hint="eastAsia" w:ascii="楷体" w:hAnsi="楷体" w:eastAsia="楷体" w:cs="楷体"/>
          <w:color w:val="333333"/>
          <w:spacing w:val="15"/>
          <w:sz w:val="31"/>
          <w:szCs w:val="31"/>
        </w:rPr>
        <w:t>（六）需要报告的其他事项</w:t>
      </w:r>
      <w:r>
        <w:rPr>
          <w:rFonts w:hint="eastAsia" w:ascii="仿宋" w:hAnsi="仿宋" w:eastAsia="仿宋" w:cs="仿宋"/>
          <w:color w:val="333333"/>
          <w:spacing w:val="15"/>
          <w:sz w:val="31"/>
          <w:szCs w:val="31"/>
        </w:rPr>
        <w:t>：无；</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80" w:firstLineChars="200"/>
        <w:textAlignment w:val="auto"/>
      </w:pPr>
      <w:r>
        <w:rPr>
          <w:rFonts w:hint="eastAsia" w:ascii="楷体" w:hAnsi="楷体" w:eastAsia="楷体" w:cs="楷体"/>
          <w:color w:val="333333"/>
          <w:spacing w:val="15"/>
          <w:sz w:val="31"/>
          <w:szCs w:val="31"/>
        </w:rPr>
        <w:t>（七）有关文件专门要求通过政府信息公开工作年度报告予以报告的其他事项：</w:t>
      </w:r>
      <w:r>
        <w:rPr>
          <w:rFonts w:hint="eastAsia" w:ascii="仿宋" w:hAnsi="仿宋" w:eastAsia="仿宋" w:cs="仿宋"/>
          <w:color w:val="333333"/>
          <w:spacing w:val="15"/>
          <w:sz w:val="31"/>
          <w:szCs w:val="31"/>
        </w:rPr>
        <w:t>无。</w:t>
      </w:r>
    </w:p>
    <w:p>
      <w:pPr>
        <w:pStyle w:val="2"/>
        <w:keepNext w:val="0"/>
        <w:keepLines w:val="0"/>
        <w:widowControl/>
        <w:suppressLineNumbers w:val="0"/>
        <w:autoSpaceDE w:val="0"/>
        <w:autoSpaceDN/>
        <w:spacing w:line="585" w:lineRule="atLeast"/>
        <w:ind w:left="0" w:firstLine="675"/>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A8AB73-F2B2-4867-9308-B0D09CB5C3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62B3D120-892E-40C8-BDF3-74A868975AC6}"/>
  </w:font>
  <w:font w:name="仿宋">
    <w:panose1 w:val="02010609060101010101"/>
    <w:charset w:val="86"/>
    <w:family w:val="auto"/>
    <w:pitch w:val="default"/>
    <w:sig w:usb0="800002BF" w:usb1="38CF7CFA" w:usb2="00000016" w:usb3="00000000" w:csb0="00040001" w:csb1="00000000"/>
    <w:embedRegular r:id="rId3" w:fontKey="{5E95CD7D-F61D-42AA-B29B-3D20F5BCEDEC}"/>
  </w:font>
  <w:font w:name="楷体">
    <w:panose1 w:val="02010609060101010101"/>
    <w:charset w:val="86"/>
    <w:family w:val="auto"/>
    <w:pitch w:val="default"/>
    <w:sig w:usb0="800002BF" w:usb1="38CF7CFA" w:usb2="00000016" w:usb3="00000000" w:csb0="00040001" w:csb1="00000000"/>
    <w:embedRegular r:id="rId4" w:fontKey="{040754F0-AC83-4A7E-8D3B-F244D9A3DD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jYyZDRiMTJjOWY5YzQ3M2M4ZGMyMzdlMmU1NmYifQ=="/>
  </w:docVars>
  <w:rsids>
    <w:rsidRoot w:val="00000000"/>
    <w:rsid w:val="01297564"/>
    <w:rsid w:val="0DD55ED9"/>
    <w:rsid w:val="0DFF319D"/>
    <w:rsid w:val="10594DE6"/>
    <w:rsid w:val="15F335E7"/>
    <w:rsid w:val="207E43F5"/>
    <w:rsid w:val="23490CEA"/>
    <w:rsid w:val="271E795E"/>
    <w:rsid w:val="28E53263"/>
    <w:rsid w:val="2AE77C74"/>
    <w:rsid w:val="2F63424F"/>
    <w:rsid w:val="316B4522"/>
    <w:rsid w:val="3434509F"/>
    <w:rsid w:val="364E3013"/>
    <w:rsid w:val="405745EF"/>
    <w:rsid w:val="43B96210"/>
    <w:rsid w:val="4FF23CA4"/>
    <w:rsid w:val="52D65847"/>
    <w:rsid w:val="62E6159D"/>
    <w:rsid w:val="65165F77"/>
    <w:rsid w:val="66CD6B09"/>
    <w:rsid w:val="67803B7C"/>
    <w:rsid w:val="69C441F4"/>
    <w:rsid w:val="6A1C5DDE"/>
    <w:rsid w:val="6C951E77"/>
    <w:rsid w:val="6D064B23"/>
    <w:rsid w:val="6EB14595"/>
    <w:rsid w:val="711D5B6D"/>
    <w:rsid w:val="71881FAB"/>
    <w:rsid w:val="750C4CA1"/>
    <w:rsid w:val="78514A0C"/>
    <w:rsid w:val="798474FC"/>
    <w:rsid w:val="7EFD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mn-lt"/>
                <a:ea typeface="+mn-ea"/>
                <a:cs typeface="+mn-cs"/>
              </a:defRPr>
            </a:pPr>
            <a:r>
              <a:t>县供销社</a:t>
            </a:r>
            <a:r>
              <a:rPr lang="en-US" altLang="zh-CN"/>
              <a:t>2022</a:t>
            </a:r>
            <a:r>
              <a:t>主动公开</a:t>
            </a:r>
            <a:r>
              <a:t>信息</a:t>
            </a:r>
          </a:p>
        </c:rich>
      </c:tx>
      <c:layout/>
      <c:overlay val="0"/>
      <c:spPr>
        <a:noFill/>
        <a:ln>
          <a:noFill/>
        </a:ln>
        <a:effectLst/>
      </c:spPr>
    </c:title>
    <c:autoTitleDeleted val="0"/>
    <c:plotArea>
      <c:layout/>
      <c:pieChart>
        <c:varyColors val="1"/>
        <c:ser>
          <c:idx val="0"/>
          <c:order val="0"/>
          <c:tx>
            <c:strRef>
              <c:f>Sheet1!$B$1</c:f>
              <c:strCache>
                <c:ptCount val="1"/>
                <c:pt idx="0">
                  <c:v>主动公开</c:v>
                </c:pt>
              </c:strCache>
            </c:strRef>
          </c:tx>
          <c:spPr>
            <a:solidFill>
              <a:srgbClr val="4F6BFD"/>
            </a:solidFill>
            <a:ln w="19050">
              <a:noFill/>
            </a:ln>
          </c:spPr>
          <c:explosion val="3"/>
          <c:dPt>
            <c:idx val="0"/>
            <c:bubble3D val="0"/>
            <c:spPr>
              <a:solidFill>
                <a:srgbClr val="4F6BFD"/>
              </a:solidFill>
              <a:ln w="19050">
                <a:noFill/>
              </a:ln>
              <a:effectLst>
                <a:outerShdw blurRad="50800" dist="38100" dir="2700000" algn="tl" rotWithShape="0">
                  <a:srgbClr val="4F6BFD">
                    <a:alpha val="40000"/>
                  </a:srgbClr>
                </a:outerShdw>
              </a:effectLst>
            </c:spPr>
          </c:dPt>
          <c:dPt>
            <c:idx val="1"/>
            <c:bubble3D val="0"/>
            <c:spPr>
              <a:solidFill>
                <a:srgbClr val="FBC100"/>
              </a:solidFill>
              <a:ln w="19050">
                <a:noFill/>
              </a:ln>
              <a:effectLst>
                <a:outerShdw blurRad="50800" dist="38100" dir="2700000" algn="tl" rotWithShape="0">
                  <a:srgbClr val="FBC100">
                    <a:alpha val="40000"/>
                  </a:srgb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4F6BFD"/>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BC100"/>
                      </a:solidFill>
                      <a:latin typeface="+mn-lt"/>
                      <a:ea typeface="+mn-ea"/>
                      <a:cs typeface="+mn-cs"/>
                    </a:defRPr>
                  </a:pPr>
                </a:p>
              </c:txPr>
              <c:dLblPos val="outEnd"/>
              <c:showLegendKey val="1"/>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B5660"/>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县政府门户网站</c:v>
                </c:pt>
                <c:pt idx="1">
                  <c:v>其他政务新媒体</c:v>
                </c:pt>
              </c:strCache>
            </c:strRef>
          </c:cat>
          <c:val>
            <c:numRef>
              <c:f>Sheet1!$B$2:$B$3</c:f>
              <c:numCache>
                <c:formatCode>General</c:formatCode>
                <c:ptCount val="2"/>
                <c:pt idx="0">
                  <c:v>2</c:v>
                </c:pt>
                <c:pt idx="1">
                  <c:v>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2199</Words>
  <Characters>2284</Characters>
  <Lines>0</Lines>
  <Paragraphs>0</Paragraphs>
  <TotalTime>17</TotalTime>
  <ScaleCrop>false</ScaleCrop>
  <LinksUpToDate>false</LinksUpToDate>
  <CharactersWithSpaces>2291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2023-01-28T09:51:00Z</dcterms:created>
  <dc:creator>wsgxsaaa</dc:creator>
  <cp:lastModifiedBy>zero.</cp:lastModifiedBy>
  <dcterms:modified xsi:type="dcterms:W3CDTF">2023-02-08T09:24:23Z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384AFAA9F7904348A68F8BF2C87B7388</vt:lpwstr>
  </property>
</Properties>
</file>