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sans-serif" w:hAnsi="sans-serif" w:eastAsia="sans-serif" w:cs="sans-serif"/>
          <w:i w:val="0"/>
          <w:caps w:val="0"/>
          <w:color w:val="000000"/>
          <w:spacing w:val="0"/>
          <w:sz w:val="24"/>
          <w:szCs w:val="24"/>
        </w:rPr>
      </w:pPr>
      <w:r>
        <w:rPr>
          <w:rStyle w:val="4"/>
          <w:rFonts w:ascii="方正小标宋简体" w:hAnsi="方正小标宋简体" w:eastAsia="方正小标宋简体" w:cs="方正小标宋简体"/>
          <w:b/>
          <w:i w:val="0"/>
          <w:caps w:val="0"/>
          <w:color w:val="333333"/>
          <w:spacing w:val="0"/>
          <w:sz w:val="36"/>
          <w:szCs w:val="36"/>
          <w:shd w:val="clear" w:fill="FFFFFF"/>
        </w:rPr>
        <w:t>微山县教育和体育局</w:t>
      </w:r>
      <w:r>
        <w:rPr>
          <w:rStyle w:val="4"/>
          <w:rFonts w:hint="eastAsia" w:ascii="方正小标宋简体" w:hAnsi="方正小标宋简体" w:eastAsia="方正小标宋简体" w:cs="方正小标宋简体"/>
          <w:b/>
          <w:i w:val="0"/>
          <w:caps w:val="0"/>
          <w:color w:val="333333"/>
          <w:spacing w:val="0"/>
          <w:sz w:val="36"/>
          <w:szCs w:val="36"/>
          <w:shd w:val="clear" w:fill="FFFFFF"/>
        </w:rPr>
        <w:t>2020年度政府信息公开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sans-serif" w:hAnsi="sans-serif" w:eastAsia="sans-serif" w:cs="sans-serif"/>
          <w:i w:val="0"/>
          <w:caps w:val="0"/>
          <w:color w:val="000000"/>
          <w:spacing w:val="0"/>
          <w:sz w:val="24"/>
          <w:szCs w:val="24"/>
        </w:rPr>
      </w:pPr>
      <w:r>
        <w:rPr>
          <w:rStyle w:val="4"/>
          <w:rFonts w:hint="eastAsia" w:ascii="方正小标宋简体" w:hAnsi="方正小标宋简体" w:eastAsia="方正小标宋简体" w:cs="方正小标宋简体"/>
          <w:b/>
          <w:i w:val="0"/>
          <w:caps w:val="0"/>
          <w:color w:val="333333"/>
          <w:spacing w:val="0"/>
          <w:sz w:val="36"/>
          <w:szCs w:val="36"/>
          <w:shd w:val="clear" w:fill="FFFFFF"/>
        </w:rPr>
        <w:t>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40"/>
        <w:jc w:val="both"/>
        <w:outlineLvl w:val="0"/>
        <w:rPr>
          <w:rFonts w:hint="default" w:ascii="sans-serif" w:hAnsi="sans-serif" w:eastAsia="sans-serif" w:cs="sans-serif"/>
          <w:i w:val="0"/>
          <w:caps w:val="0"/>
          <w:color w:val="000000"/>
          <w:spacing w:val="0"/>
          <w:sz w:val="24"/>
          <w:szCs w:val="24"/>
        </w:rPr>
      </w:pPr>
      <w:r>
        <w:rPr>
          <w:rStyle w:val="4"/>
          <w:rFonts w:hint="eastAsia" w:ascii="宋体" w:hAnsi="宋体" w:eastAsia="宋体" w:cs="宋体"/>
          <w:b/>
          <w:i w:val="0"/>
          <w:caps w:val="0"/>
          <w:color w:val="333333"/>
          <w:spacing w:val="0"/>
          <w:sz w:val="27"/>
          <w:szCs w:val="27"/>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0"/>
        <w:jc w:val="left"/>
        <w:outlineLvl w:val="1"/>
        <w:rPr>
          <w:rFonts w:hint="default" w:ascii="sans-serif" w:hAnsi="sans-serif" w:eastAsia="sans-serif" w:cs="sans-serif"/>
          <w:i w:val="0"/>
          <w:caps w:val="0"/>
          <w:color w:val="000000"/>
          <w:spacing w:val="0"/>
          <w:sz w:val="24"/>
          <w:szCs w:val="24"/>
        </w:rPr>
      </w:pPr>
      <w:r>
        <w:rPr>
          <w:rStyle w:val="4"/>
          <w:rFonts w:hint="eastAsia" w:ascii="宋体" w:hAnsi="宋体" w:eastAsia="宋体" w:cs="宋体"/>
          <w:b/>
          <w:i w:val="0"/>
          <w:caps w:val="0"/>
          <w:color w:val="3D3D3D"/>
          <w:spacing w:val="0"/>
          <w:sz w:val="27"/>
          <w:szCs w:val="27"/>
        </w:rPr>
        <w:t>本报告是根据《中华人民共和国政府信息公开条例》规定和微山县人民政府办公室《关于做好2020年度政府信息公开年度报告编制发布工作的通知》要求编制而成。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0"/>
        <w:jc w:val="left"/>
        <w:outlineLvl w:val="1"/>
        <w:rPr>
          <w:rFonts w:hint="default" w:ascii="sans-serif" w:hAnsi="sans-serif" w:eastAsia="sans-serif" w:cs="sans-serif"/>
          <w:i w:val="0"/>
          <w:caps w:val="0"/>
          <w:color w:val="000000"/>
          <w:spacing w:val="0"/>
          <w:sz w:val="24"/>
          <w:szCs w:val="24"/>
        </w:rPr>
      </w:pPr>
      <w:r>
        <w:rPr>
          <w:rStyle w:val="4"/>
          <w:rFonts w:hint="eastAsia" w:ascii="宋体" w:hAnsi="宋体" w:eastAsia="宋体" w:cs="宋体"/>
          <w:b/>
          <w:i w:val="0"/>
          <w:caps w:val="0"/>
          <w:color w:val="3D3D3D"/>
          <w:spacing w:val="0"/>
          <w:sz w:val="27"/>
          <w:szCs w:val="27"/>
        </w:rPr>
        <w:t>本报告由政府信息公开总体情况、主动公开政府信息的情况、收到和处理政府信息公开申请情况、政府信息公开行政复议行政诉讼情况、政府信息公开工作存在的主要问题及改进情况及其他需要报告的事项等6部分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0"/>
        <w:jc w:val="left"/>
        <w:outlineLvl w:val="1"/>
        <w:rPr>
          <w:rFonts w:hint="default" w:ascii="sans-serif" w:hAnsi="sans-serif" w:eastAsia="sans-serif" w:cs="sans-serif"/>
          <w:i w:val="0"/>
          <w:caps w:val="0"/>
          <w:color w:val="000000"/>
          <w:spacing w:val="0"/>
          <w:sz w:val="24"/>
          <w:szCs w:val="24"/>
        </w:rPr>
      </w:pPr>
      <w:r>
        <w:rPr>
          <w:rStyle w:val="4"/>
          <w:rFonts w:hint="eastAsia" w:ascii="宋体" w:hAnsi="宋体" w:eastAsia="宋体" w:cs="宋体"/>
          <w:b/>
          <w:i w:val="0"/>
          <w:caps w:val="0"/>
          <w:color w:val="3D3D3D"/>
          <w:spacing w:val="0"/>
          <w:sz w:val="27"/>
          <w:szCs w:val="27"/>
        </w:rPr>
        <w:t>本报告中所列数据的统计期自2020年1月1日起至2020年12月31日止。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outlineLvl w:val="0"/>
        <w:rPr>
          <w:rFonts w:hint="default" w:ascii="sans-serif" w:hAnsi="sans-serif" w:eastAsia="sans-serif" w:cs="sans-serif"/>
          <w:i w:val="0"/>
          <w:caps w:val="0"/>
          <w:color w:val="000000"/>
          <w:spacing w:val="0"/>
          <w:sz w:val="24"/>
          <w:szCs w:val="24"/>
        </w:rPr>
      </w:pPr>
      <w:r>
        <w:rPr>
          <w:rStyle w:val="4"/>
          <w:rFonts w:hint="eastAsia" w:ascii="宋体" w:hAnsi="宋体" w:eastAsia="宋体" w:cs="宋体"/>
          <w:b/>
          <w:i w:val="0"/>
          <w:caps w:val="0"/>
          <w:color w:val="333333"/>
          <w:spacing w:val="0"/>
          <w:sz w:val="27"/>
          <w:szCs w:val="27"/>
          <w:shd w:val="clear" w:fill="FFFFFF"/>
        </w:rPr>
        <w:t>二、主动公开政府信息情况</w:t>
      </w:r>
    </w:p>
    <w:tbl>
      <w:tblPr>
        <w:tblStyle w:val="5"/>
        <w:tblW w:w="8145" w:type="dxa"/>
        <w:jc w:val="center"/>
        <w:tblInd w:w="186" w:type="dxa"/>
        <w:shd w:val="clear" w:color="auto" w:fill="auto"/>
        <w:tblLayout w:type="fixed"/>
        <w:tblCellMar>
          <w:top w:w="15" w:type="dxa"/>
          <w:left w:w="15" w:type="dxa"/>
          <w:bottom w:w="15" w:type="dxa"/>
          <w:right w:w="15" w:type="dxa"/>
        </w:tblCellMar>
      </w:tblPr>
      <w:tblGrid>
        <w:gridCol w:w="2610"/>
        <w:gridCol w:w="1845"/>
        <w:gridCol w:w="1800"/>
        <w:gridCol w:w="1890"/>
      </w:tblGrid>
      <w:tr>
        <w:tblPrEx>
          <w:shd w:val="clear" w:color="auto" w:fill="auto"/>
          <w:tblLayout w:type="fixed"/>
          <w:tblCellMar>
            <w:top w:w="15" w:type="dxa"/>
            <w:left w:w="15" w:type="dxa"/>
            <w:bottom w:w="15" w:type="dxa"/>
            <w:right w:w="15" w:type="dxa"/>
          </w:tblCellMar>
        </w:tblPrEx>
        <w:trPr>
          <w:trHeight w:val="495" w:hRule="atLeast"/>
          <w:jc w:val="center"/>
        </w:trPr>
        <w:tc>
          <w:tcPr>
            <w:tcW w:w="814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第二十条第（一）项</w:t>
            </w:r>
          </w:p>
        </w:tc>
      </w:tr>
      <w:tr>
        <w:tblPrEx>
          <w:tblLayout w:type="fixed"/>
          <w:tblCellMar>
            <w:top w:w="15" w:type="dxa"/>
            <w:left w:w="15" w:type="dxa"/>
            <w:bottom w:w="15" w:type="dxa"/>
            <w:right w:w="15" w:type="dxa"/>
          </w:tblCellMar>
        </w:tblPrEx>
        <w:trPr>
          <w:trHeight w:val="390" w:hRule="atLeast"/>
          <w:jc w:val="center"/>
        </w:trPr>
        <w:tc>
          <w:tcPr>
            <w:tcW w:w="26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信息内容</w:t>
            </w:r>
          </w:p>
        </w:tc>
        <w:tc>
          <w:tcPr>
            <w:tcW w:w="18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本年新制作数量</w:t>
            </w:r>
          </w:p>
        </w:tc>
        <w:tc>
          <w:tcPr>
            <w:tcW w:w="18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本年新公开数量</w:t>
            </w:r>
          </w:p>
        </w:tc>
        <w:tc>
          <w:tcPr>
            <w:tcW w:w="18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对外公开总数量</w:t>
            </w:r>
          </w:p>
        </w:tc>
      </w:tr>
      <w:tr>
        <w:tblPrEx>
          <w:shd w:val="clear" w:color="auto" w:fill="auto"/>
          <w:tblLayout w:type="fixed"/>
          <w:tblCellMar>
            <w:top w:w="15" w:type="dxa"/>
            <w:left w:w="15" w:type="dxa"/>
            <w:bottom w:w="15" w:type="dxa"/>
            <w:right w:w="15" w:type="dxa"/>
          </w:tblCellMar>
        </w:tblPrEx>
        <w:trPr>
          <w:trHeight w:val="525" w:hRule="atLeast"/>
          <w:jc w:val="center"/>
        </w:trPr>
        <w:tc>
          <w:tcPr>
            <w:tcW w:w="26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outlineLvl w:val="1"/>
            </w:pPr>
            <w:r>
              <w:rPr>
                <w:rFonts w:hint="default" w:ascii="Times New Roman" w:hAnsi="Times New Roman" w:cs="Times New Roman"/>
                <w:color w:val="333333"/>
                <w:sz w:val="19"/>
                <w:szCs w:val="19"/>
              </w:rPr>
              <w:t>规章</w:t>
            </w:r>
          </w:p>
        </w:tc>
        <w:tc>
          <w:tcPr>
            <w:tcW w:w="18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19"/>
                <w:szCs w:val="19"/>
              </w:rPr>
              <w:t>0</w:t>
            </w:r>
          </w:p>
        </w:tc>
        <w:tc>
          <w:tcPr>
            <w:tcW w:w="1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19"/>
                <w:szCs w:val="19"/>
              </w:rPr>
              <w:t>0</w:t>
            </w:r>
          </w:p>
        </w:tc>
        <w:tc>
          <w:tcPr>
            <w:tcW w:w="18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19"/>
                <w:szCs w:val="19"/>
              </w:rPr>
              <w:t>0</w:t>
            </w:r>
          </w:p>
        </w:tc>
      </w:tr>
      <w:tr>
        <w:tblPrEx>
          <w:tblLayout w:type="fixed"/>
          <w:tblCellMar>
            <w:top w:w="15" w:type="dxa"/>
            <w:left w:w="15" w:type="dxa"/>
            <w:bottom w:w="15" w:type="dxa"/>
            <w:right w:w="15" w:type="dxa"/>
          </w:tblCellMar>
        </w:tblPrEx>
        <w:trPr>
          <w:trHeight w:val="465" w:hRule="atLeast"/>
          <w:jc w:val="center"/>
        </w:trPr>
        <w:tc>
          <w:tcPr>
            <w:tcW w:w="26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outlineLvl w:val="1"/>
            </w:pPr>
            <w:r>
              <w:rPr>
                <w:rFonts w:hint="default" w:ascii="Times New Roman" w:hAnsi="Times New Roman" w:cs="Times New Roman"/>
                <w:color w:val="333333"/>
                <w:sz w:val="19"/>
                <w:szCs w:val="19"/>
              </w:rPr>
              <w:t>规范性文件</w:t>
            </w:r>
          </w:p>
        </w:tc>
        <w:tc>
          <w:tcPr>
            <w:tcW w:w="18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50" w:lineRule="atLeast"/>
              <w:ind w:left="0" w:right="0"/>
              <w:jc w:val="center"/>
              <w:outlineLvl w:val="1"/>
            </w:pPr>
            <w:r>
              <w:rPr>
                <w:rFonts w:hint="eastAsia" w:ascii="宋体" w:hAnsi="宋体" w:eastAsia="宋体" w:cs="宋体"/>
                <w:color w:val="333333"/>
                <w:sz w:val="19"/>
                <w:szCs w:val="19"/>
              </w:rPr>
              <w:t>0</w:t>
            </w:r>
          </w:p>
        </w:tc>
        <w:tc>
          <w:tcPr>
            <w:tcW w:w="1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50" w:lineRule="atLeast"/>
              <w:ind w:left="0" w:right="0"/>
              <w:jc w:val="center"/>
              <w:outlineLvl w:val="1"/>
            </w:pPr>
            <w:r>
              <w:rPr>
                <w:rFonts w:hint="eastAsia" w:ascii="宋体" w:hAnsi="宋体" w:eastAsia="宋体" w:cs="宋体"/>
                <w:color w:val="333333"/>
                <w:sz w:val="19"/>
                <w:szCs w:val="19"/>
              </w:rPr>
              <w:t>0</w:t>
            </w:r>
          </w:p>
        </w:tc>
        <w:tc>
          <w:tcPr>
            <w:tcW w:w="18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50" w:lineRule="atLeast"/>
              <w:ind w:left="0" w:right="0"/>
              <w:jc w:val="center"/>
              <w:outlineLvl w:val="1"/>
            </w:pPr>
            <w:r>
              <w:rPr>
                <w:rFonts w:hint="eastAsia" w:ascii="宋体" w:hAnsi="宋体" w:eastAsia="宋体" w:cs="宋体"/>
                <w:color w:val="333333"/>
                <w:sz w:val="19"/>
                <w:szCs w:val="19"/>
              </w:rPr>
              <w:t>0</w:t>
            </w:r>
          </w:p>
        </w:tc>
      </w:tr>
      <w:tr>
        <w:tblPrEx>
          <w:shd w:val="clear" w:color="auto" w:fill="auto"/>
          <w:tblLayout w:type="fixed"/>
          <w:tblCellMar>
            <w:top w:w="15" w:type="dxa"/>
            <w:left w:w="15" w:type="dxa"/>
            <w:bottom w:w="15" w:type="dxa"/>
            <w:right w:w="15" w:type="dxa"/>
          </w:tblCellMar>
        </w:tblPrEx>
        <w:trPr>
          <w:trHeight w:val="480"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第二十条第（五）项</w:t>
            </w:r>
          </w:p>
        </w:tc>
      </w:tr>
      <w:tr>
        <w:tblPrEx>
          <w:tblLayout w:type="fixed"/>
          <w:tblCellMar>
            <w:top w:w="15" w:type="dxa"/>
            <w:left w:w="15" w:type="dxa"/>
            <w:bottom w:w="15" w:type="dxa"/>
            <w:right w:w="15" w:type="dxa"/>
          </w:tblCellMar>
        </w:tblPrEx>
        <w:trPr>
          <w:trHeight w:val="615" w:hRule="atLeast"/>
          <w:jc w:val="center"/>
        </w:trPr>
        <w:tc>
          <w:tcPr>
            <w:tcW w:w="26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信息内容</w:t>
            </w:r>
          </w:p>
        </w:tc>
        <w:tc>
          <w:tcPr>
            <w:tcW w:w="18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上一年项目数量</w:t>
            </w:r>
          </w:p>
        </w:tc>
        <w:tc>
          <w:tcPr>
            <w:tcW w:w="18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本年增/</w:t>
            </w:r>
            <w:r>
              <w:rPr>
                <w:rFonts w:hint="eastAsia" w:ascii="宋体" w:hAnsi="宋体" w:eastAsia="宋体" w:cs="宋体"/>
                <w:color w:val="333333"/>
                <w:sz w:val="19"/>
                <w:szCs w:val="19"/>
              </w:rPr>
              <w:t>减</w:t>
            </w:r>
          </w:p>
        </w:tc>
        <w:tc>
          <w:tcPr>
            <w:tcW w:w="18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处理决定数量</w:t>
            </w:r>
          </w:p>
        </w:tc>
      </w:tr>
      <w:tr>
        <w:tblPrEx>
          <w:tblLayout w:type="fixed"/>
          <w:tblCellMar>
            <w:top w:w="15" w:type="dxa"/>
            <w:left w:w="15" w:type="dxa"/>
            <w:bottom w:w="15" w:type="dxa"/>
            <w:right w:w="15" w:type="dxa"/>
          </w:tblCellMar>
        </w:tblPrEx>
        <w:trPr>
          <w:trHeight w:val="525" w:hRule="atLeast"/>
          <w:jc w:val="center"/>
        </w:trPr>
        <w:tc>
          <w:tcPr>
            <w:tcW w:w="26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outlineLvl w:val="1"/>
            </w:pPr>
            <w:r>
              <w:rPr>
                <w:rFonts w:hint="default" w:ascii="Times New Roman" w:hAnsi="Times New Roman" w:cs="Times New Roman"/>
                <w:color w:val="333333"/>
                <w:sz w:val="19"/>
                <w:szCs w:val="19"/>
              </w:rPr>
              <w:t>行政许可</w:t>
            </w:r>
          </w:p>
        </w:tc>
        <w:tc>
          <w:tcPr>
            <w:tcW w:w="18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8</w:t>
            </w:r>
          </w:p>
        </w:tc>
        <w:tc>
          <w:tcPr>
            <w:tcW w:w="1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无增减</w:t>
            </w:r>
          </w:p>
        </w:tc>
        <w:tc>
          <w:tcPr>
            <w:tcW w:w="18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19"/>
                <w:szCs w:val="19"/>
              </w:rPr>
              <w:t>1</w:t>
            </w:r>
          </w:p>
        </w:tc>
      </w:tr>
      <w:tr>
        <w:tblPrEx>
          <w:tblLayout w:type="fixed"/>
          <w:tblCellMar>
            <w:top w:w="15" w:type="dxa"/>
            <w:left w:w="15" w:type="dxa"/>
            <w:bottom w:w="15" w:type="dxa"/>
            <w:right w:w="15" w:type="dxa"/>
          </w:tblCellMar>
        </w:tblPrEx>
        <w:trPr>
          <w:trHeight w:val="555" w:hRule="atLeast"/>
          <w:jc w:val="center"/>
        </w:trPr>
        <w:tc>
          <w:tcPr>
            <w:tcW w:w="26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outlineLvl w:val="1"/>
            </w:pPr>
            <w:r>
              <w:rPr>
                <w:rFonts w:hint="default" w:ascii="Times New Roman" w:hAnsi="Times New Roman" w:cs="Times New Roman"/>
                <w:color w:val="333333"/>
                <w:sz w:val="19"/>
                <w:szCs w:val="19"/>
              </w:rPr>
              <w:t>其他对外管理服务事项</w:t>
            </w:r>
          </w:p>
        </w:tc>
        <w:tc>
          <w:tcPr>
            <w:tcW w:w="18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19"/>
                <w:szCs w:val="19"/>
              </w:rPr>
              <w:t>114</w:t>
            </w:r>
          </w:p>
        </w:tc>
        <w:tc>
          <w:tcPr>
            <w:tcW w:w="1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无增减</w:t>
            </w:r>
          </w:p>
        </w:tc>
        <w:tc>
          <w:tcPr>
            <w:tcW w:w="18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19"/>
                <w:szCs w:val="19"/>
              </w:rPr>
              <w:t>0</w:t>
            </w:r>
          </w:p>
        </w:tc>
      </w:tr>
      <w:tr>
        <w:tblPrEx>
          <w:tblLayout w:type="fixed"/>
          <w:tblCellMar>
            <w:top w:w="15" w:type="dxa"/>
            <w:left w:w="15" w:type="dxa"/>
            <w:bottom w:w="15" w:type="dxa"/>
            <w:right w:w="15" w:type="dxa"/>
          </w:tblCellMar>
        </w:tblPrEx>
        <w:trPr>
          <w:trHeight w:val="405"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第二十条第（六）项</w:t>
            </w:r>
          </w:p>
        </w:tc>
      </w:tr>
      <w:tr>
        <w:tblPrEx>
          <w:shd w:val="clear" w:color="auto" w:fill="auto"/>
          <w:tblLayout w:type="fixed"/>
          <w:tblCellMar>
            <w:top w:w="15" w:type="dxa"/>
            <w:left w:w="15" w:type="dxa"/>
            <w:bottom w:w="15" w:type="dxa"/>
            <w:right w:w="15" w:type="dxa"/>
          </w:tblCellMar>
        </w:tblPrEx>
        <w:trPr>
          <w:trHeight w:val="630" w:hRule="atLeast"/>
          <w:jc w:val="center"/>
        </w:trPr>
        <w:tc>
          <w:tcPr>
            <w:tcW w:w="26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信息内容</w:t>
            </w:r>
          </w:p>
        </w:tc>
        <w:tc>
          <w:tcPr>
            <w:tcW w:w="18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上一年项目数量</w:t>
            </w:r>
          </w:p>
        </w:tc>
        <w:tc>
          <w:tcPr>
            <w:tcW w:w="18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本年增/</w:t>
            </w:r>
            <w:r>
              <w:rPr>
                <w:rFonts w:hint="eastAsia" w:ascii="宋体" w:hAnsi="宋体" w:eastAsia="宋体" w:cs="宋体"/>
                <w:color w:val="333333"/>
                <w:sz w:val="19"/>
                <w:szCs w:val="19"/>
              </w:rPr>
              <w:t>减</w:t>
            </w:r>
          </w:p>
        </w:tc>
        <w:tc>
          <w:tcPr>
            <w:tcW w:w="18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处理决定数量</w:t>
            </w:r>
          </w:p>
        </w:tc>
      </w:tr>
      <w:tr>
        <w:tblPrEx>
          <w:shd w:val="clear" w:color="auto" w:fill="auto"/>
          <w:tblLayout w:type="fixed"/>
          <w:tblCellMar>
            <w:top w:w="15" w:type="dxa"/>
            <w:left w:w="15" w:type="dxa"/>
            <w:bottom w:w="15" w:type="dxa"/>
            <w:right w:w="15" w:type="dxa"/>
          </w:tblCellMar>
        </w:tblPrEx>
        <w:trPr>
          <w:trHeight w:val="435" w:hRule="atLeast"/>
          <w:jc w:val="center"/>
        </w:trPr>
        <w:tc>
          <w:tcPr>
            <w:tcW w:w="26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outlineLvl w:val="1"/>
            </w:pPr>
            <w:r>
              <w:rPr>
                <w:rFonts w:hint="default" w:ascii="Times New Roman" w:hAnsi="Times New Roman" w:cs="Times New Roman"/>
                <w:color w:val="333333"/>
                <w:sz w:val="19"/>
                <w:szCs w:val="19"/>
              </w:rPr>
              <w:t>行政处罚</w:t>
            </w:r>
          </w:p>
        </w:tc>
        <w:tc>
          <w:tcPr>
            <w:tcW w:w="18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19"/>
                <w:szCs w:val="19"/>
              </w:rPr>
              <w:t>37</w:t>
            </w:r>
          </w:p>
        </w:tc>
        <w:tc>
          <w:tcPr>
            <w:tcW w:w="1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无增减</w:t>
            </w:r>
          </w:p>
        </w:tc>
        <w:tc>
          <w:tcPr>
            <w:tcW w:w="18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19"/>
                <w:szCs w:val="19"/>
              </w:rPr>
              <w:t>1</w:t>
            </w:r>
          </w:p>
        </w:tc>
      </w:tr>
      <w:tr>
        <w:tblPrEx>
          <w:shd w:val="clear" w:color="auto" w:fill="auto"/>
          <w:tblLayout w:type="fixed"/>
          <w:tblCellMar>
            <w:top w:w="15" w:type="dxa"/>
            <w:left w:w="15" w:type="dxa"/>
            <w:bottom w:w="15" w:type="dxa"/>
            <w:right w:w="15" w:type="dxa"/>
          </w:tblCellMar>
        </w:tblPrEx>
        <w:trPr>
          <w:trHeight w:val="405" w:hRule="atLeast"/>
          <w:jc w:val="center"/>
        </w:trPr>
        <w:tc>
          <w:tcPr>
            <w:tcW w:w="26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outlineLvl w:val="1"/>
            </w:pPr>
            <w:r>
              <w:rPr>
                <w:rFonts w:hint="default" w:ascii="Times New Roman" w:hAnsi="Times New Roman" w:cs="Times New Roman"/>
                <w:color w:val="333333"/>
                <w:sz w:val="19"/>
                <w:szCs w:val="19"/>
              </w:rPr>
              <w:t>行政强制</w:t>
            </w:r>
          </w:p>
        </w:tc>
        <w:tc>
          <w:tcPr>
            <w:tcW w:w="18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19"/>
                <w:szCs w:val="19"/>
              </w:rPr>
              <w:t>2</w:t>
            </w:r>
          </w:p>
        </w:tc>
        <w:tc>
          <w:tcPr>
            <w:tcW w:w="1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无增减</w:t>
            </w:r>
          </w:p>
        </w:tc>
        <w:tc>
          <w:tcPr>
            <w:tcW w:w="18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19"/>
                <w:szCs w:val="19"/>
              </w:rPr>
              <w:t>0</w:t>
            </w:r>
          </w:p>
        </w:tc>
      </w:tr>
      <w:tr>
        <w:tblPrEx>
          <w:shd w:val="clear" w:color="auto" w:fill="auto"/>
          <w:tblLayout w:type="fixed"/>
          <w:tblCellMar>
            <w:top w:w="15" w:type="dxa"/>
            <w:left w:w="15" w:type="dxa"/>
            <w:bottom w:w="15" w:type="dxa"/>
            <w:right w:w="15" w:type="dxa"/>
          </w:tblCellMar>
        </w:tblPrEx>
        <w:trPr>
          <w:trHeight w:val="480"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第二十条第（八）项</w:t>
            </w:r>
          </w:p>
        </w:tc>
      </w:tr>
      <w:tr>
        <w:tblPrEx>
          <w:tblLayout w:type="fixed"/>
          <w:tblCellMar>
            <w:top w:w="15" w:type="dxa"/>
            <w:left w:w="15" w:type="dxa"/>
            <w:bottom w:w="15" w:type="dxa"/>
            <w:right w:w="15" w:type="dxa"/>
          </w:tblCellMar>
        </w:tblPrEx>
        <w:trPr>
          <w:trHeight w:val="270" w:hRule="atLeast"/>
          <w:jc w:val="center"/>
        </w:trPr>
        <w:tc>
          <w:tcPr>
            <w:tcW w:w="26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信息内容</w:t>
            </w:r>
          </w:p>
        </w:tc>
        <w:tc>
          <w:tcPr>
            <w:tcW w:w="18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outlineLvl w:val="1"/>
            </w:pPr>
            <w:r>
              <w:rPr>
                <w:rFonts w:hint="default" w:ascii="Times New Roman" w:hAnsi="Times New Roman" w:cs="Times New Roman"/>
                <w:color w:val="333333"/>
                <w:sz w:val="19"/>
                <w:szCs w:val="19"/>
              </w:rPr>
              <w:t>上一年项目数量</w:t>
            </w:r>
          </w:p>
        </w:tc>
        <w:tc>
          <w:tcPr>
            <w:tcW w:w="3690" w:type="dxa"/>
            <w:gridSpan w:val="2"/>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本年增/</w:t>
            </w:r>
            <w:r>
              <w:rPr>
                <w:rFonts w:hint="eastAsia" w:ascii="宋体" w:hAnsi="宋体" w:eastAsia="宋体" w:cs="宋体"/>
                <w:color w:val="333333"/>
                <w:sz w:val="19"/>
                <w:szCs w:val="19"/>
              </w:rPr>
              <w:t>减</w:t>
            </w:r>
          </w:p>
        </w:tc>
      </w:tr>
      <w:tr>
        <w:tblPrEx>
          <w:shd w:val="clear" w:color="auto" w:fill="auto"/>
          <w:tblLayout w:type="fixed"/>
          <w:tblCellMar>
            <w:top w:w="15" w:type="dxa"/>
            <w:left w:w="15" w:type="dxa"/>
            <w:bottom w:w="15" w:type="dxa"/>
            <w:right w:w="15" w:type="dxa"/>
          </w:tblCellMar>
        </w:tblPrEx>
        <w:trPr>
          <w:trHeight w:val="555" w:hRule="atLeast"/>
          <w:jc w:val="center"/>
        </w:trPr>
        <w:tc>
          <w:tcPr>
            <w:tcW w:w="26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outlineLvl w:val="1"/>
            </w:pPr>
            <w:r>
              <w:rPr>
                <w:rFonts w:hint="default" w:ascii="Times New Roman" w:hAnsi="Times New Roman" w:cs="Times New Roman"/>
                <w:color w:val="333333"/>
                <w:sz w:val="19"/>
                <w:szCs w:val="19"/>
              </w:rPr>
              <w:t>行政事业性收费</w:t>
            </w:r>
          </w:p>
        </w:tc>
        <w:tc>
          <w:tcPr>
            <w:tcW w:w="18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19"/>
                <w:szCs w:val="19"/>
              </w:rPr>
              <w:t>1</w:t>
            </w:r>
          </w:p>
        </w:tc>
        <w:tc>
          <w:tcPr>
            <w:tcW w:w="3690"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无增减</w:t>
            </w:r>
          </w:p>
        </w:tc>
      </w:tr>
      <w:tr>
        <w:tblPrEx>
          <w:shd w:val="clear" w:color="auto" w:fill="auto"/>
          <w:tblLayout w:type="fixed"/>
          <w:tblCellMar>
            <w:top w:w="15" w:type="dxa"/>
            <w:left w:w="15" w:type="dxa"/>
            <w:bottom w:w="15" w:type="dxa"/>
            <w:right w:w="15" w:type="dxa"/>
          </w:tblCellMar>
        </w:tblPrEx>
        <w:trPr>
          <w:trHeight w:val="480"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第二十条第（九）项</w:t>
            </w:r>
          </w:p>
        </w:tc>
      </w:tr>
      <w:tr>
        <w:tblPrEx>
          <w:shd w:val="clear" w:color="auto" w:fill="auto"/>
          <w:tblLayout w:type="fixed"/>
          <w:tblCellMar>
            <w:top w:w="15" w:type="dxa"/>
            <w:left w:w="15" w:type="dxa"/>
            <w:bottom w:w="15" w:type="dxa"/>
            <w:right w:w="15" w:type="dxa"/>
          </w:tblCellMar>
        </w:tblPrEx>
        <w:trPr>
          <w:trHeight w:val="585" w:hRule="atLeast"/>
          <w:jc w:val="center"/>
        </w:trPr>
        <w:tc>
          <w:tcPr>
            <w:tcW w:w="26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信息内容</w:t>
            </w:r>
          </w:p>
        </w:tc>
        <w:tc>
          <w:tcPr>
            <w:tcW w:w="18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采购项目数量</w:t>
            </w:r>
          </w:p>
        </w:tc>
        <w:tc>
          <w:tcPr>
            <w:tcW w:w="3690" w:type="dxa"/>
            <w:gridSpan w:val="2"/>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采购总金额</w:t>
            </w:r>
          </w:p>
        </w:tc>
      </w:tr>
      <w:tr>
        <w:tblPrEx>
          <w:shd w:val="clear" w:color="auto" w:fill="auto"/>
          <w:tblLayout w:type="fixed"/>
          <w:tblCellMar>
            <w:top w:w="15" w:type="dxa"/>
            <w:left w:w="15" w:type="dxa"/>
            <w:bottom w:w="15" w:type="dxa"/>
            <w:right w:w="15" w:type="dxa"/>
          </w:tblCellMar>
        </w:tblPrEx>
        <w:trPr>
          <w:trHeight w:val="540" w:hRule="atLeast"/>
          <w:jc w:val="center"/>
        </w:trPr>
        <w:tc>
          <w:tcPr>
            <w:tcW w:w="26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outlineLvl w:val="1"/>
            </w:pPr>
            <w:r>
              <w:rPr>
                <w:rFonts w:hint="default" w:ascii="Times New Roman" w:hAnsi="Times New Roman" w:cs="Times New Roman"/>
                <w:color w:val="333333"/>
                <w:sz w:val="19"/>
                <w:szCs w:val="19"/>
              </w:rPr>
              <w:t>政府集中采购</w:t>
            </w:r>
          </w:p>
        </w:tc>
        <w:tc>
          <w:tcPr>
            <w:tcW w:w="18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19"/>
                <w:szCs w:val="19"/>
              </w:rPr>
              <w:t>3</w:t>
            </w:r>
          </w:p>
        </w:tc>
        <w:tc>
          <w:tcPr>
            <w:tcW w:w="3690"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outlineLvl w:val="1"/>
            </w:pPr>
            <w:r>
              <w:rPr>
                <w:rFonts w:hint="eastAsia" w:ascii="宋体" w:hAnsi="宋体" w:eastAsia="宋体" w:cs="宋体"/>
                <w:color w:val="333333"/>
                <w:sz w:val="24"/>
                <w:szCs w:val="24"/>
              </w:rPr>
              <w:t>236.26万元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315"/>
        <w:jc w:val="both"/>
        <w:outlineLvl w:val="0"/>
        <w:rPr>
          <w:rFonts w:hint="default" w:ascii="sans-serif" w:hAnsi="sans-serif" w:eastAsia="sans-serif" w:cs="sans-serif"/>
          <w:i w:val="0"/>
          <w:caps w:val="0"/>
          <w:color w:val="000000"/>
          <w:spacing w:val="0"/>
          <w:sz w:val="24"/>
          <w:szCs w:val="24"/>
        </w:rPr>
      </w:pPr>
      <w:r>
        <w:rPr>
          <w:rStyle w:val="4"/>
          <w:rFonts w:hint="eastAsia" w:ascii="宋体" w:hAnsi="宋体" w:eastAsia="宋体" w:cs="宋体"/>
          <w:b/>
          <w:i w:val="0"/>
          <w:caps w:val="0"/>
          <w:color w:val="333333"/>
          <w:spacing w:val="0"/>
          <w:sz w:val="27"/>
          <w:szCs w:val="27"/>
          <w:shd w:val="clear" w:fill="FFFFFF"/>
        </w:rPr>
        <w:t>三、收到和处理政府信息公开申请情况</w:t>
      </w:r>
    </w:p>
    <w:tbl>
      <w:tblPr>
        <w:tblStyle w:val="5"/>
        <w:tblW w:w="8511" w:type="dxa"/>
        <w:jc w:val="center"/>
        <w:tblInd w:w="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12"/>
        <w:gridCol w:w="845"/>
        <w:gridCol w:w="1881"/>
        <w:gridCol w:w="758"/>
        <w:gridCol w:w="705"/>
        <w:gridCol w:w="705"/>
        <w:gridCol w:w="758"/>
        <w:gridCol w:w="902"/>
        <w:gridCol w:w="679"/>
        <w:gridCol w:w="6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3338"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（本列数据的勾稽关系为：第一项加第二项之和，等于第三项加第四项之和）</w:t>
            </w:r>
          </w:p>
        </w:tc>
        <w:tc>
          <w:tcPr>
            <w:tcW w:w="5173"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338"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758"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自然人</w:t>
            </w:r>
          </w:p>
        </w:tc>
        <w:tc>
          <w:tcPr>
            <w:tcW w:w="3749"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法人或其他组织</w:t>
            </w:r>
          </w:p>
        </w:tc>
        <w:tc>
          <w:tcPr>
            <w:tcW w:w="666"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3338"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75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商业企业</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科研机构</w:t>
            </w:r>
          </w:p>
        </w:tc>
        <w:tc>
          <w:tcPr>
            <w:tcW w:w="75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社会公益组织</w:t>
            </w:r>
          </w:p>
        </w:tc>
        <w:tc>
          <w:tcPr>
            <w:tcW w:w="90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法律服务机构</w:t>
            </w:r>
          </w:p>
        </w:tc>
        <w:tc>
          <w:tcPr>
            <w:tcW w:w="67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其他</w:t>
            </w:r>
          </w:p>
        </w:tc>
        <w:tc>
          <w:tcPr>
            <w:tcW w:w="666"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3338"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一、本年新收政府信息公开申请数量</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1</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9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338"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二、上年结转政府信息公开申请数量</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9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2"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三、本年度办理结果</w:t>
            </w:r>
          </w:p>
        </w:tc>
        <w:tc>
          <w:tcPr>
            <w:tcW w:w="272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（一）予以公开</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1</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9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6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272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（二）部分公开（区分处理的，只计这一情形，不计其他情形）</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9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84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（三）不予公开</w:t>
            </w:r>
          </w:p>
        </w:tc>
        <w:tc>
          <w:tcPr>
            <w:tcW w:w="18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outlineLvl w:val="1"/>
            </w:pPr>
            <w:r>
              <w:rPr>
                <w:rFonts w:hint="default" w:ascii="Times New Roman" w:hAnsi="Times New Roman" w:cs="Times New Roman"/>
                <w:color w:val="333333"/>
                <w:sz w:val="19"/>
                <w:szCs w:val="19"/>
              </w:rPr>
              <w:t>1.</w:t>
            </w:r>
            <w:r>
              <w:rPr>
                <w:rFonts w:hint="eastAsia" w:ascii="宋体" w:hAnsi="宋体" w:eastAsia="宋体" w:cs="宋体"/>
                <w:color w:val="333333"/>
                <w:sz w:val="19"/>
                <w:szCs w:val="19"/>
              </w:rPr>
              <w:t>属于国家秘密</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9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6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84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18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outlineLvl w:val="1"/>
            </w:pPr>
            <w:r>
              <w:rPr>
                <w:rFonts w:hint="default" w:ascii="Times New Roman" w:hAnsi="Times New Roman" w:cs="Times New Roman"/>
                <w:color w:val="333333"/>
                <w:sz w:val="19"/>
                <w:szCs w:val="19"/>
              </w:rPr>
              <w:t>2.</w:t>
            </w:r>
            <w:r>
              <w:rPr>
                <w:rFonts w:hint="eastAsia" w:ascii="宋体" w:hAnsi="宋体" w:eastAsia="宋体" w:cs="宋体"/>
                <w:color w:val="333333"/>
                <w:sz w:val="19"/>
                <w:szCs w:val="19"/>
              </w:rPr>
              <w:t>其他法律行政法规禁止公开</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9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84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18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outlineLvl w:val="1"/>
            </w:pPr>
            <w:r>
              <w:rPr>
                <w:rFonts w:hint="default" w:ascii="Times New Roman" w:hAnsi="Times New Roman" w:cs="Times New Roman"/>
                <w:color w:val="333333"/>
                <w:sz w:val="19"/>
                <w:szCs w:val="19"/>
              </w:rPr>
              <w:t>3.</w:t>
            </w:r>
            <w:r>
              <w:rPr>
                <w:rFonts w:hint="eastAsia" w:ascii="宋体" w:hAnsi="宋体" w:eastAsia="宋体" w:cs="宋体"/>
                <w:color w:val="333333"/>
                <w:sz w:val="19"/>
                <w:szCs w:val="19"/>
              </w:rPr>
              <w:t>危及</w:t>
            </w:r>
            <w:r>
              <w:rPr>
                <w:rFonts w:hint="default" w:ascii="Times New Roman" w:hAnsi="Times New Roman" w:cs="Times New Roman"/>
                <w:color w:val="333333"/>
                <w:sz w:val="19"/>
                <w:szCs w:val="19"/>
              </w:rPr>
              <w:t>“</w:t>
            </w:r>
            <w:r>
              <w:rPr>
                <w:rFonts w:hint="eastAsia" w:ascii="宋体" w:hAnsi="宋体" w:eastAsia="宋体" w:cs="宋体"/>
                <w:color w:val="333333"/>
                <w:sz w:val="19"/>
                <w:szCs w:val="19"/>
              </w:rPr>
              <w:t>三安全一稳定</w:t>
            </w:r>
            <w:r>
              <w:rPr>
                <w:rFonts w:hint="default" w:ascii="Times New Roman" w:hAnsi="Times New Roman" w:cs="Times New Roman"/>
                <w:color w:val="333333"/>
                <w:sz w:val="19"/>
                <w:szCs w:val="19"/>
              </w:rPr>
              <w:t>”</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9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84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18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outlineLvl w:val="1"/>
            </w:pPr>
            <w:r>
              <w:rPr>
                <w:rFonts w:hint="default" w:ascii="Times New Roman" w:hAnsi="Times New Roman" w:cs="Times New Roman"/>
                <w:color w:val="333333"/>
                <w:sz w:val="19"/>
                <w:szCs w:val="19"/>
              </w:rPr>
              <w:t>4.</w:t>
            </w:r>
            <w:r>
              <w:rPr>
                <w:rFonts w:hint="eastAsia" w:ascii="宋体" w:hAnsi="宋体" w:eastAsia="宋体" w:cs="宋体"/>
                <w:color w:val="333333"/>
                <w:sz w:val="19"/>
                <w:szCs w:val="19"/>
              </w:rPr>
              <w:t>保护第三方合法权益</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9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84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18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outlineLvl w:val="1"/>
            </w:pPr>
            <w:r>
              <w:rPr>
                <w:rFonts w:hint="default" w:ascii="Times New Roman" w:hAnsi="Times New Roman" w:cs="Times New Roman"/>
                <w:color w:val="333333"/>
                <w:sz w:val="19"/>
                <w:szCs w:val="19"/>
              </w:rPr>
              <w:t>5.</w:t>
            </w:r>
            <w:r>
              <w:rPr>
                <w:rFonts w:hint="eastAsia" w:ascii="宋体" w:hAnsi="宋体" w:eastAsia="宋体" w:cs="宋体"/>
                <w:color w:val="333333"/>
                <w:sz w:val="19"/>
                <w:szCs w:val="19"/>
              </w:rPr>
              <w:t>属于三类内部事务信息</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9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84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18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outlineLvl w:val="1"/>
            </w:pPr>
            <w:r>
              <w:rPr>
                <w:rFonts w:hint="default" w:ascii="Times New Roman" w:hAnsi="Times New Roman" w:cs="Times New Roman"/>
                <w:color w:val="333333"/>
                <w:sz w:val="19"/>
                <w:szCs w:val="19"/>
              </w:rPr>
              <w:t>6.</w:t>
            </w:r>
            <w:r>
              <w:rPr>
                <w:rFonts w:hint="eastAsia" w:ascii="宋体" w:hAnsi="宋体" w:eastAsia="宋体" w:cs="宋体"/>
                <w:color w:val="333333"/>
                <w:sz w:val="19"/>
                <w:szCs w:val="19"/>
              </w:rPr>
              <w:t>属于四类过程性信息</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9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84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18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outlineLvl w:val="1"/>
            </w:pPr>
            <w:r>
              <w:rPr>
                <w:rFonts w:hint="default" w:ascii="Times New Roman" w:hAnsi="Times New Roman" w:cs="Times New Roman"/>
                <w:color w:val="333333"/>
                <w:sz w:val="19"/>
                <w:szCs w:val="19"/>
              </w:rPr>
              <w:t>7.</w:t>
            </w:r>
            <w:r>
              <w:rPr>
                <w:rFonts w:hint="eastAsia" w:ascii="宋体" w:hAnsi="宋体" w:eastAsia="宋体" w:cs="宋体"/>
                <w:color w:val="333333"/>
                <w:sz w:val="19"/>
                <w:szCs w:val="19"/>
              </w:rPr>
              <w:t>属于行政执法案卷</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9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84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18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outlineLvl w:val="1"/>
            </w:pPr>
            <w:r>
              <w:rPr>
                <w:rFonts w:hint="default" w:ascii="Times New Roman" w:hAnsi="Times New Roman" w:cs="Times New Roman"/>
                <w:color w:val="333333"/>
                <w:sz w:val="19"/>
                <w:szCs w:val="19"/>
              </w:rPr>
              <w:t>8.</w:t>
            </w:r>
            <w:r>
              <w:rPr>
                <w:rFonts w:hint="eastAsia" w:ascii="宋体" w:hAnsi="宋体" w:eastAsia="宋体" w:cs="宋体"/>
                <w:color w:val="333333"/>
                <w:sz w:val="19"/>
                <w:szCs w:val="19"/>
              </w:rPr>
              <w:t>属于行政查询事项</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9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84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（四）无法提供</w:t>
            </w:r>
          </w:p>
        </w:tc>
        <w:tc>
          <w:tcPr>
            <w:tcW w:w="18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outlineLvl w:val="1"/>
            </w:pPr>
            <w:r>
              <w:rPr>
                <w:rFonts w:hint="default" w:ascii="Times New Roman" w:hAnsi="Times New Roman" w:cs="Times New Roman"/>
                <w:color w:val="333333"/>
                <w:sz w:val="19"/>
                <w:szCs w:val="19"/>
              </w:rPr>
              <w:t>1.</w:t>
            </w:r>
            <w:r>
              <w:rPr>
                <w:rFonts w:hint="eastAsia" w:ascii="宋体" w:hAnsi="宋体" w:eastAsia="宋体" w:cs="宋体"/>
                <w:color w:val="333333"/>
                <w:sz w:val="19"/>
                <w:szCs w:val="19"/>
              </w:rPr>
              <w:t>本机关不掌握相关政府信息</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9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84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18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outlineLvl w:val="1"/>
            </w:pPr>
            <w:r>
              <w:rPr>
                <w:rFonts w:hint="default" w:ascii="Times New Roman" w:hAnsi="Times New Roman" w:cs="Times New Roman"/>
                <w:color w:val="333333"/>
                <w:sz w:val="19"/>
                <w:szCs w:val="19"/>
              </w:rPr>
              <w:t>2.</w:t>
            </w:r>
            <w:r>
              <w:rPr>
                <w:rFonts w:hint="eastAsia" w:ascii="宋体" w:hAnsi="宋体" w:eastAsia="宋体" w:cs="宋体"/>
                <w:color w:val="333333"/>
                <w:sz w:val="19"/>
                <w:szCs w:val="19"/>
              </w:rPr>
              <w:t>没有现成信息需要另行制作</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9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84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18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outlineLvl w:val="1"/>
            </w:pPr>
            <w:r>
              <w:rPr>
                <w:rFonts w:hint="default" w:ascii="Times New Roman" w:hAnsi="Times New Roman" w:cs="Times New Roman"/>
                <w:color w:val="333333"/>
                <w:sz w:val="19"/>
                <w:szCs w:val="19"/>
              </w:rPr>
              <w:t>3.</w:t>
            </w:r>
            <w:r>
              <w:rPr>
                <w:rFonts w:hint="eastAsia" w:ascii="宋体" w:hAnsi="宋体" w:eastAsia="宋体" w:cs="宋体"/>
                <w:color w:val="333333"/>
                <w:sz w:val="19"/>
                <w:szCs w:val="19"/>
              </w:rPr>
              <w:t>补正后申请内容仍不明确</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9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84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（五）不予处理</w:t>
            </w:r>
          </w:p>
        </w:tc>
        <w:tc>
          <w:tcPr>
            <w:tcW w:w="18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outlineLvl w:val="1"/>
            </w:pPr>
            <w:r>
              <w:rPr>
                <w:rFonts w:hint="default" w:ascii="Times New Roman" w:hAnsi="Times New Roman" w:cs="Times New Roman"/>
                <w:color w:val="333333"/>
                <w:sz w:val="19"/>
                <w:szCs w:val="19"/>
              </w:rPr>
              <w:t>1.</w:t>
            </w:r>
            <w:r>
              <w:rPr>
                <w:rFonts w:hint="eastAsia" w:ascii="宋体" w:hAnsi="宋体" w:eastAsia="宋体" w:cs="宋体"/>
                <w:color w:val="333333"/>
                <w:sz w:val="19"/>
                <w:szCs w:val="19"/>
              </w:rPr>
              <w:t>信访举报投诉类申请</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9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84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18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outlineLvl w:val="1"/>
            </w:pPr>
            <w:r>
              <w:rPr>
                <w:rFonts w:hint="default" w:ascii="Times New Roman" w:hAnsi="Times New Roman" w:cs="Times New Roman"/>
                <w:color w:val="333333"/>
                <w:sz w:val="19"/>
                <w:szCs w:val="19"/>
              </w:rPr>
              <w:t>2.</w:t>
            </w:r>
            <w:r>
              <w:rPr>
                <w:rFonts w:hint="eastAsia" w:ascii="宋体" w:hAnsi="宋体" w:eastAsia="宋体" w:cs="宋体"/>
                <w:color w:val="333333"/>
                <w:sz w:val="19"/>
                <w:szCs w:val="19"/>
              </w:rPr>
              <w:t>重复申请</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9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84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18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outlineLvl w:val="1"/>
            </w:pPr>
            <w:r>
              <w:rPr>
                <w:rFonts w:hint="default" w:ascii="Times New Roman" w:hAnsi="Times New Roman" w:cs="Times New Roman"/>
                <w:color w:val="333333"/>
                <w:sz w:val="19"/>
                <w:szCs w:val="19"/>
              </w:rPr>
              <w:t>3.</w:t>
            </w:r>
            <w:r>
              <w:rPr>
                <w:rFonts w:hint="eastAsia" w:ascii="宋体" w:hAnsi="宋体" w:eastAsia="宋体" w:cs="宋体"/>
                <w:color w:val="333333"/>
                <w:sz w:val="19"/>
                <w:szCs w:val="19"/>
              </w:rPr>
              <w:t>要求提供公开出版物</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9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84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18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outlineLvl w:val="1"/>
            </w:pPr>
            <w:r>
              <w:rPr>
                <w:rFonts w:hint="default" w:ascii="Times New Roman" w:hAnsi="Times New Roman" w:cs="Times New Roman"/>
                <w:color w:val="333333"/>
                <w:sz w:val="19"/>
                <w:szCs w:val="19"/>
              </w:rPr>
              <w:t>4.</w:t>
            </w:r>
            <w:r>
              <w:rPr>
                <w:rFonts w:hint="eastAsia" w:ascii="宋体" w:hAnsi="宋体" w:eastAsia="宋体" w:cs="宋体"/>
                <w:color w:val="333333"/>
                <w:sz w:val="19"/>
                <w:szCs w:val="19"/>
              </w:rPr>
              <w:t>无正当理由大量反复申请</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9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84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18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outlineLvl w:val="1"/>
            </w:pPr>
            <w:r>
              <w:rPr>
                <w:rFonts w:hint="default" w:ascii="Times New Roman" w:hAnsi="Times New Roman" w:cs="Times New Roman"/>
                <w:color w:val="333333"/>
                <w:sz w:val="19"/>
                <w:szCs w:val="19"/>
              </w:rPr>
              <w:t>5.</w:t>
            </w:r>
            <w:r>
              <w:rPr>
                <w:rFonts w:hint="eastAsia" w:ascii="宋体" w:hAnsi="宋体" w:eastAsia="宋体" w:cs="宋体"/>
                <w:color w:val="333333"/>
                <w:sz w:val="19"/>
                <w:szCs w:val="19"/>
              </w:rPr>
              <w:t>要求行政机关确认或重新出具已获取信息</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9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272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（六）其他处理</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9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272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（七）总计</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1</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9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3338"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四、结转下年度继续办理</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9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c>
          <w:tcPr>
            <w:tcW w:w="6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eastAsia" w:ascii="宋体" w:hAnsi="宋体" w:eastAsia="宋体" w:cs="宋体"/>
                <w:color w:val="333333"/>
                <w:sz w:val="21"/>
                <w:szCs w:val="21"/>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outlineLvl w:val="0"/>
        <w:rPr>
          <w:rFonts w:hint="default" w:ascii="sans-serif" w:hAnsi="sans-serif" w:eastAsia="sans-serif" w:cs="sans-serif"/>
          <w:i w:val="0"/>
          <w:caps w:val="0"/>
          <w:color w:val="000000"/>
          <w:spacing w:val="0"/>
          <w:sz w:val="24"/>
          <w:szCs w:val="24"/>
        </w:rPr>
      </w:pPr>
      <w:r>
        <w:rPr>
          <w:rStyle w:val="4"/>
          <w:rFonts w:hint="eastAsia" w:ascii="宋体" w:hAnsi="宋体" w:eastAsia="宋体" w:cs="宋体"/>
          <w:b/>
          <w:i w:val="0"/>
          <w:caps w:val="0"/>
          <w:color w:val="333333"/>
          <w:spacing w:val="0"/>
          <w:sz w:val="27"/>
          <w:szCs w:val="27"/>
          <w:shd w:val="clear" w:fill="FFFFFF"/>
        </w:rPr>
        <w:t>四、政府信息公开行政复议、行政诉讼情况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333333"/>
          <w:spacing w:val="0"/>
          <w:sz w:val="24"/>
          <w:szCs w:val="24"/>
          <w:shd w:val="clear" w:fill="FFFFFF"/>
        </w:rPr>
        <w:t> </w:t>
      </w:r>
    </w:p>
    <w:tbl>
      <w:tblPr>
        <w:tblStyle w:val="5"/>
        <w:tblW w:w="8506" w:type="dxa"/>
        <w:jc w:val="center"/>
        <w:tblInd w:w="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63"/>
        <w:gridCol w:w="563"/>
        <w:gridCol w:w="563"/>
        <w:gridCol w:w="563"/>
        <w:gridCol w:w="624"/>
        <w:gridCol w:w="526"/>
        <w:gridCol w:w="563"/>
        <w:gridCol w:w="563"/>
        <w:gridCol w:w="563"/>
        <w:gridCol w:w="575"/>
        <w:gridCol w:w="563"/>
        <w:gridCol w:w="563"/>
        <w:gridCol w:w="563"/>
        <w:gridCol w:w="563"/>
        <w:gridCol w:w="5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2876"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行政复议</w:t>
            </w:r>
          </w:p>
        </w:tc>
        <w:tc>
          <w:tcPr>
            <w:tcW w:w="5630"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563"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结果维持</w:t>
            </w:r>
          </w:p>
        </w:tc>
        <w:tc>
          <w:tcPr>
            <w:tcW w:w="56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结果纠正</w:t>
            </w:r>
          </w:p>
        </w:tc>
        <w:tc>
          <w:tcPr>
            <w:tcW w:w="563"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其他结果</w:t>
            </w:r>
          </w:p>
        </w:tc>
        <w:tc>
          <w:tcPr>
            <w:tcW w:w="563"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尚未审结</w:t>
            </w:r>
          </w:p>
        </w:tc>
        <w:tc>
          <w:tcPr>
            <w:tcW w:w="624"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计</w:t>
            </w:r>
          </w:p>
        </w:tc>
        <w:tc>
          <w:tcPr>
            <w:tcW w:w="279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未经复议直接起诉</w:t>
            </w:r>
          </w:p>
        </w:tc>
        <w:tc>
          <w:tcPr>
            <w:tcW w:w="284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63"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56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563"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563"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624"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outlineLvl w:val="1"/>
              <w:rPr>
                <w:rFonts w:hint="eastAsia" w:ascii="宋体"/>
                <w:sz w:val="24"/>
                <w:szCs w:val="24"/>
              </w:rPr>
            </w:pPr>
          </w:p>
        </w:tc>
        <w:tc>
          <w:tcPr>
            <w:tcW w:w="5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结果维持</w:t>
            </w:r>
          </w:p>
        </w:tc>
        <w:tc>
          <w:tcPr>
            <w:tcW w:w="5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结果纠正</w:t>
            </w:r>
          </w:p>
        </w:tc>
        <w:tc>
          <w:tcPr>
            <w:tcW w:w="56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其他结果</w:t>
            </w:r>
          </w:p>
        </w:tc>
        <w:tc>
          <w:tcPr>
            <w:tcW w:w="56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尚未审结</w:t>
            </w:r>
          </w:p>
        </w:tc>
        <w:tc>
          <w:tcPr>
            <w:tcW w:w="5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总计</w:t>
            </w:r>
          </w:p>
        </w:tc>
        <w:tc>
          <w:tcPr>
            <w:tcW w:w="56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结果维持</w:t>
            </w:r>
          </w:p>
        </w:tc>
        <w:tc>
          <w:tcPr>
            <w:tcW w:w="56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结果纠正</w:t>
            </w:r>
          </w:p>
        </w:tc>
        <w:tc>
          <w:tcPr>
            <w:tcW w:w="56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其他结果</w:t>
            </w:r>
          </w:p>
        </w:tc>
        <w:tc>
          <w:tcPr>
            <w:tcW w:w="56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尚未审结</w:t>
            </w:r>
          </w:p>
        </w:tc>
        <w:tc>
          <w:tcPr>
            <w:tcW w:w="58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6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 </w:t>
            </w:r>
            <w:r>
              <w:rPr>
                <w:rFonts w:hint="eastAsia" w:ascii="宋体" w:hAnsi="宋体" w:eastAsia="宋体" w:cs="宋体"/>
                <w:color w:val="333333"/>
                <w:sz w:val="19"/>
                <w:szCs w:val="19"/>
              </w:rPr>
              <w:t>0</w:t>
            </w:r>
          </w:p>
        </w:tc>
        <w:tc>
          <w:tcPr>
            <w:tcW w:w="5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 </w:t>
            </w:r>
            <w:r>
              <w:rPr>
                <w:rFonts w:hint="eastAsia" w:ascii="宋体" w:hAnsi="宋体" w:eastAsia="宋体" w:cs="宋体"/>
                <w:color w:val="333333"/>
                <w:sz w:val="19"/>
                <w:szCs w:val="19"/>
              </w:rPr>
              <w:t>0</w:t>
            </w:r>
          </w:p>
        </w:tc>
        <w:tc>
          <w:tcPr>
            <w:tcW w:w="5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 </w:t>
            </w:r>
            <w:r>
              <w:rPr>
                <w:rFonts w:hint="eastAsia" w:ascii="宋体" w:hAnsi="宋体" w:eastAsia="宋体" w:cs="宋体"/>
                <w:color w:val="333333"/>
                <w:sz w:val="19"/>
                <w:szCs w:val="19"/>
              </w:rPr>
              <w:t>0</w:t>
            </w:r>
          </w:p>
        </w:tc>
        <w:tc>
          <w:tcPr>
            <w:tcW w:w="5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 </w:t>
            </w:r>
            <w:r>
              <w:rPr>
                <w:rFonts w:hint="eastAsia" w:ascii="宋体" w:hAnsi="宋体" w:eastAsia="宋体" w:cs="宋体"/>
                <w:color w:val="333333"/>
                <w:sz w:val="19"/>
                <w:szCs w:val="19"/>
              </w:rPr>
              <w:t>0</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 </w:t>
            </w:r>
            <w:r>
              <w:rPr>
                <w:rFonts w:hint="eastAsia" w:ascii="宋体" w:hAnsi="宋体" w:eastAsia="宋体" w:cs="宋体"/>
                <w:color w:val="333333"/>
                <w:sz w:val="19"/>
                <w:szCs w:val="19"/>
              </w:rPr>
              <w:t>0</w:t>
            </w:r>
          </w:p>
        </w:tc>
        <w:tc>
          <w:tcPr>
            <w:tcW w:w="5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 </w:t>
            </w:r>
            <w:r>
              <w:rPr>
                <w:rFonts w:hint="eastAsia" w:ascii="宋体" w:hAnsi="宋体" w:eastAsia="宋体" w:cs="宋体"/>
                <w:color w:val="333333"/>
                <w:sz w:val="19"/>
                <w:szCs w:val="19"/>
              </w:rPr>
              <w:t>0</w:t>
            </w:r>
          </w:p>
        </w:tc>
        <w:tc>
          <w:tcPr>
            <w:tcW w:w="5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 </w:t>
            </w:r>
            <w:r>
              <w:rPr>
                <w:rFonts w:hint="eastAsia" w:ascii="宋体" w:hAnsi="宋体" w:eastAsia="宋体" w:cs="宋体"/>
                <w:color w:val="333333"/>
                <w:sz w:val="19"/>
                <w:szCs w:val="19"/>
              </w:rPr>
              <w:t>0</w:t>
            </w:r>
          </w:p>
        </w:tc>
        <w:tc>
          <w:tcPr>
            <w:tcW w:w="5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 </w:t>
            </w:r>
            <w:r>
              <w:rPr>
                <w:rFonts w:hint="eastAsia" w:ascii="宋体" w:hAnsi="宋体" w:eastAsia="宋体" w:cs="宋体"/>
                <w:color w:val="333333"/>
                <w:sz w:val="19"/>
                <w:szCs w:val="19"/>
              </w:rPr>
              <w:t>0</w:t>
            </w:r>
          </w:p>
        </w:tc>
        <w:tc>
          <w:tcPr>
            <w:tcW w:w="5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 </w:t>
            </w:r>
            <w:r>
              <w:rPr>
                <w:rFonts w:hint="eastAsia" w:ascii="宋体" w:hAnsi="宋体" w:eastAsia="宋体" w:cs="宋体"/>
                <w:color w:val="333333"/>
                <w:sz w:val="19"/>
                <w:szCs w:val="19"/>
              </w:rPr>
              <w:t>0</w:t>
            </w:r>
          </w:p>
        </w:tc>
        <w:tc>
          <w:tcPr>
            <w:tcW w:w="5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 </w:t>
            </w:r>
            <w:r>
              <w:rPr>
                <w:rFonts w:hint="eastAsia" w:ascii="宋体" w:hAnsi="宋体" w:eastAsia="宋体" w:cs="宋体"/>
                <w:color w:val="333333"/>
                <w:sz w:val="19"/>
                <w:szCs w:val="19"/>
              </w:rPr>
              <w:t>0</w:t>
            </w:r>
          </w:p>
        </w:tc>
        <w:tc>
          <w:tcPr>
            <w:tcW w:w="5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 </w:t>
            </w:r>
            <w:r>
              <w:rPr>
                <w:rFonts w:hint="eastAsia" w:ascii="宋体" w:hAnsi="宋体" w:eastAsia="宋体" w:cs="宋体"/>
                <w:color w:val="333333"/>
                <w:sz w:val="19"/>
                <w:szCs w:val="19"/>
              </w:rPr>
              <w:t>0</w:t>
            </w:r>
          </w:p>
        </w:tc>
        <w:tc>
          <w:tcPr>
            <w:tcW w:w="5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 </w:t>
            </w:r>
            <w:r>
              <w:rPr>
                <w:rFonts w:hint="eastAsia" w:ascii="宋体" w:hAnsi="宋体" w:eastAsia="宋体" w:cs="宋体"/>
                <w:color w:val="333333"/>
                <w:sz w:val="19"/>
                <w:szCs w:val="19"/>
              </w:rPr>
              <w:t>0</w:t>
            </w:r>
          </w:p>
        </w:tc>
        <w:tc>
          <w:tcPr>
            <w:tcW w:w="5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 </w:t>
            </w:r>
            <w:r>
              <w:rPr>
                <w:rFonts w:hint="eastAsia" w:ascii="宋体" w:hAnsi="宋体" w:eastAsia="宋体" w:cs="宋体"/>
                <w:color w:val="333333"/>
                <w:sz w:val="19"/>
                <w:szCs w:val="19"/>
              </w:rPr>
              <w:t>0</w:t>
            </w:r>
          </w:p>
        </w:tc>
        <w:tc>
          <w:tcPr>
            <w:tcW w:w="5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 </w:t>
            </w:r>
            <w:r>
              <w:rPr>
                <w:rFonts w:hint="eastAsia" w:ascii="宋体" w:hAnsi="宋体" w:eastAsia="宋体" w:cs="宋体"/>
                <w:color w:val="333333"/>
                <w:sz w:val="19"/>
                <w:szCs w:val="19"/>
              </w:rPr>
              <w:t>0</w:t>
            </w:r>
          </w:p>
        </w:tc>
        <w:tc>
          <w:tcPr>
            <w:tcW w:w="5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outlineLvl w:val="1"/>
            </w:pPr>
            <w:r>
              <w:rPr>
                <w:rFonts w:hint="default" w:ascii="Times New Roman" w:hAnsi="Times New Roman" w:cs="Times New Roman"/>
                <w:color w:val="333333"/>
                <w:sz w:val="19"/>
                <w:szCs w:val="19"/>
              </w:rPr>
              <w:t> </w:t>
            </w:r>
            <w:r>
              <w:rPr>
                <w:rFonts w:hint="eastAsia" w:ascii="宋体" w:hAnsi="宋体" w:eastAsia="宋体" w:cs="宋体"/>
                <w:color w:val="333333"/>
                <w:sz w:val="19"/>
                <w:szCs w:val="19"/>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outlineLvl w:val="0"/>
        <w:rPr>
          <w:rFonts w:hint="default" w:ascii="sans-serif" w:hAnsi="sans-serif" w:eastAsia="sans-serif" w:cs="sans-serif"/>
          <w:i w:val="0"/>
          <w:caps w:val="0"/>
          <w:color w:val="000000"/>
          <w:spacing w:val="0"/>
          <w:sz w:val="24"/>
          <w:szCs w:val="24"/>
        </w:rPr>
      </w:pPr>
      <w:r>
        <w:rPr>
          <w:rStyle w:val="4"/>
          <w:rFonts w:hint="eastAsia" w:ascii="宋体" w:hAnsi="宋体" w:eastAsia="宋体" w:cs="宋体"/>
          <w:b/>
          <w:i w:val="0"/>
          <w:caps w:val="0"/>
          <w:color w:val="333333"/>
          <w:spacing w:val="0"/>
          <w:sz w:val="27"/>
          <w:szCs w:val="27"/>
          <w:shd w:val="clear"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outlineLvl w:val="1"/>
        <w:rPr>
          <w:rFonts w:hint="default" w:ascii="sans-serif" w:hAnsi="sans-serif" w:eastAsia="sans-serif" w:cs="sans-serif"/>
          <w:i w:val="0"/>
          <w:caps w:val="0"/>
          <w:color w:val="000000"/>
          <w:spacing w:val="0"/>
          <w:sz w:val="24"/>
          <w:szCs w:val="24"/>
        </w:rPr>
      </w:pPr>
      <w:r>
        <w:rPr>
          <w:rStyle w:val="4"/>
          <w:rFonts w:hint="eastAsia" w:ascii="宋体" w:hAnsi="宋体" w:eastAsia="宋体" w:cs="宋体"/>
          <w:b/>
          <w:i w:val="0"/>
          <w:caps w:val="0"/>
          <w:color w:val="333333"/>
          <w:spacing w:val="0"/>
          <w:sz w:val="27"/>
          <w:szCs w:val="27"/>
          <w:shd w:val="clear" w:fill="FFFFFF"/>
        </w:rPr>
        <w:t>2020年我局的政府信息公开工作虽然取得了一定的成绩，但与公众的需求还存在一定差距，公开内容的及时性、全面性及便民性等还有待在今后工作中改进。下一步，我局将强化业务培训，进一步创新公开模式，多渠道、多形式主动公开信息；同时，加强信息公开工作的督促检查，及时更新，上传全面、准确的政府信息，保障群众知情权、监督权，推进县教体局政府信息公开工作再上新台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outlineLvl w:val="0"/>
        <w:rPr>
          <w:rFonts w:hint="default" w:ascii="sans-serif" w:hAnsi="sans-serif" w:eastAsia="sans-serif" w:cs="sans-serif"/>
          <w:i w:val="0"/>
          <w:caps w:val="0"/>
          <w:color w:val="000000"/>
          <w:spacing w:val="0"/>
          <w:sz w:val="24"/>
          <w:szCs w:val="24"/>
        </w:rPr>
      </w:pPr>
      <w:r>
        <w:rPr>
          <w:rStyle w:val="4"/>
          <w:rFonts w:hint="eastAsia" w:ascii="宋体" w:hAnsi="宋体" w:eastAsia="宋体" w:cs="宋体"/>
          <w:b/>
          <w:i w:val="0"/>
          <w:caps w:val="0"/>
          <w:color w:val="333333"/>
          <w:spacing w:val="0"/>
          <w:sz w:val="27"/>
          <w:szCs w:val="27"/>
          <w:shd w:val="clear" w:fill="FFFFFF"/>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outlineLvl w:val="1"/>
        <w:rPr>
          <w:rFonts w:hint="default" w:ascii="sans-serif" w:hAnsi="sans-serif" w:eastAsia="sans-serif" w:cs="sans-serif"/>
          <w:i w:val="0"/>
          <w:caps w:val="0"/>
          <w:color w:val="000000"/>
          <w:spacing w:val="0"/>
          <w:sz w:val="24"/>
          <w:szCs w:val="24"/>
        </w:rPr>
      </w:pPr>
      <w:r>
        <w:rPr>
          <w:rStyle w:val="4"/>
          <w:rFonts w:hint="eastAsia" w:ascii="宋体" w:hAnsi="宋体" w:eastAsia="宋体" w:cs="宋体"/>
          <w:b/>
          <w:i w:val="0"/>
          <w:caps w:val="0"/>
          <w:color w:val="333333"/>
          <w:spacing w:val="0"/>
          <w:sz w:val="27"/>
          <w:szCs w:val="27"/>
          <w:shd w:val="clear" w:fill="FFFFFF"/>
        </w:rPr>
        <w:t>2020年,县人大代表、政协委员对我局共提出建议</w:t>
      </w:r>
      <w:r>
        <w:rPr>
          <w:rStyle w:val="4"/>
          <w:rFonts w:hint="eastAsia" w:ascii="宋体" w:hAnsi="宋体" w:eastAsia="宋体" w:cs="宋体"/>
          <w:b/>
          <w:i w:val="0"/>
          <w:caps w:val="0"/>
          <w:color w:val="333333"/>
          <w:spacing w:val="0"/>
          <w:sz w:val="27"/>
          <w:szCs w:val="27"/>
          <w:shd w:val="clear" w:fill="FFFFFF"/>
          <w:lang w:val="en-US" w:eastAsia="zh-CN"/>
        </w:rPr>
        <w:t>9</w:t>
      </w:r>
      <w:r>
        <w:rPr>
          <w:rStyle w:val="4"/>
          <w:rFonts w:hint="eastAsia" w:ascii="宋体" w:hAnsi="宋体" w:eastAsia="宋体" w:cs="宋体"/>
          <w:b/>
          <w:i w:val="0"/>
          <w:caps w:val="0"/>
          <w:color w:val="333333"/>
          <w:spacing w:val="0"/>
          <w:sz w:val="27"/>
          <w:szCs w:val="27"/>
          <w:shd w:val="clear" w:fill="FFFFFF"/>
        </w:rPr>
        <w:t>件、提案</w:t>
      </w:r>
      <w:r>
        <w:rPr>
          <w:rStyle w:val="4"/>
          <w:rFonts w:hint="eastAsia" w:ascii="宋体" w:hAnsi="宋体" w:eastAsia="宋体" w:cs="宋体"/>
          <w:b/>
          <w:i w:val="0"/>
          <w:caps w:val="0"/>
          <w:color w:val="333333"/>
          <w:spacing w:val="0"/>
          <w:sz w:val="27"/>
          <w:szCs w:val="27"/>
          <w:shd w:val="clear" w:fill="FFFFFF"/>
          <w:lang w:val="en-US" w:eastAsia="zh-CN"/>
        </w:rPr>
        <w:t>24</w:t>
      </w:r>
      <w:r>
        <w:rPr>
          <w:rStyle w:val="4"/>
          <w:rFonts w:hint="eastAsia" w:ascii="宋体" w:hAnsi="宋体" w:eastAsia="宋体" w:cs="宋体"/>
          <w:b/>
          <w:i w:val="0"/>
          <w:caps w:val="0"/>
          <w:color w:val="333333"/>
          <w:spacing w:val="0"/>
          <w:sz w:val="27"/>
          <w:szCs w:val="27"/>
          <w:shd w:val="clear" w:fill="FFFFFF"/>
        </w:rPr>
        <w:t>件 ，办理结果均按时公开。</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8E2208"/>
    <w:rsid w:val="5F894AB2"/>
    <w:rsid w:val="68863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2021-05-26T01:16:46Z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