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758"/>
          <w:tab w:val="left" w:pos="8730"/>
        </w:tabs>
        <w:kinsoku/>
        <w:wordWrap/>
        <w:overflowPunct/>
        <w:topLinePunct w:val="0"/>
        <w:autoSpaceDE/>
        <w:autoSpaceDN/>
        <w:bidi w:val="0"/>
        <w:adjustRightInd/>
        <w:snapToGrid/>
        <w:spacing w:line="600" w:lineRule="exact"/>
        <w:ind w:right="-6"/>
        <w:jc w:val="left"/>
        <w:textAlignment w:val="auto"/>
        <w:rPr>
          <w:rFonts w:hint="default" w:ascii="Times New Roman" w:hAnsi="Times New Roman" w:eastAsia="方正仿宋简体" w:cs="Times New Roman"/>
          <w:b/>
          <w:bCs/>
          <w:color w:val="auto"/>
          <w:spacing w:val="0"/>
          <w:w w:val="100"/>
          <w:position w:val="0"/>
          <w:sz w:val="32"/>
          <w:szCs w:val="32"/>
          <w:highlight w:val="none"/>
        </w:rPr>
      </w:pPr>
      <w:r>
        <w:rPr>
          <w:rFonts w:ascii="Times New Roman" w:hAnsi="Times New Roman" w:eastAsia="黑体"/>
          <w:b/>
          <w:i w:val="0"/>
          <w:strike w:val="0"/>
          <w:color w:val="000000"/>
          <w:spacing w:val="0"/>
          <w:w w:val="100"/>
          <w:sz w:val="30"/>
        </w:rPr>
        <w:t>WSDR-202</w:t>
      </w:r>
      <w:r>
        <w:rPr>
          <w:rFonts w:hint="eastAsia" w:ascii="Times New Roman" w:hAnsi="Times New Roman" w:eastAsia="黑体"/>
          <w:b/>
          <w:i w:val="0"/>
          <w:strike w:val="0"/>
          <w:color w:val="000000"/>
          <w:spacing w:val="0"/>
          <w:w w:val="100"/>
          <w:sz w:val="30"/>
          <w:lang w:val="en-US" w:eastAsia="zh-CN"/>
        </w:rPr>
        <w:t>2</w:t>
      </w:r>
      <w:r>
        <w:rPr>
          <w:rFonts w:ascii="Times New Roman" w:hAnsi="Times New Roman" w:eastAsia="黑体"/>
          <w:b/>
          <w:i w:val="0"/>
          <w:strike w:val="0"/>
          <w:color w:val="000000"/>
          <w:spacing w:val="0"/>
          <w:w w:val="100"/>
          <w:sz w:val="30"/>
        </w:rPr>
        <w:t>-00</w:t>
      </w:r>
      <w:r>
        <w:rPr>
          <w:rFonts w:hint="eastAsia" w:ascii="Times New Roman" w:hAnsi="Times New Roman" w:eastAsia="黑体"/>
          <w:b/>
          <w:i w:val="0"/>
          <w:strike w:val="0"/>
          <w:color w:val="000000"/>
          <w:spacing w:val="0"/>
          <w:w w:val="100"/>
          <w:sz w:val="30"/>
          <w:lang w:val="en-US" w:eastAsia="zh-CN"/>
        </w:rPr>
        <w:t>1</w:t>
      </w:r>
      <w:r>
        <w:rPr>
          <w:rFonts w:ascii="Times New Roman" w:hAnsi="Times New Roman" w:eastAsia="黑体"/>
          <w:b/>
          <w:i w:val="0"/>
          <w:strike w:val="0"/>
          <w:color w:val="000000"/>
          <w:spacing w:val="0"/>
          <w:w w:val="100"/>
          <w:sz w:val="30"/>
        </w:rPr>
        <w:t>0001</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仿宋简体" w:cs="Times New Roman"/>
          <w:b w:val="0"/>
          <w:bCs w:val="0"/>
          <w:color w:val="auto"/>
          <w:spacing w:val="0"/>
          <w:w w:val="100"/>
          <w:position w:val="0"/>
          <w:sz w:val="32"/>
          <w:szCs w:val="32"/>
          <w:highlight w:val="none"/>
        </w:rPr>
      </w:pPr>
      <w:r>
        <w:rPr>
          <w:rFonts w:hint="default" w:ascii="Times New Roman" w:hAnsi="Times New Roman" w:eastAsia="方正仿宋简体" w:cs="Times New Roman"/>
          <w:b w:val="0"/>
          <w:bCs w:val="0"/>
          <w:color w:val="auto"/>
          <w:spacing w:val="0"/>
          <w:w w:val="100"/>
          <w:position w:val="0"/>
          <w:sz w:val="32"/>
          <w:szCs w:val="32"/>
          <w:highlight w:val="none"/>
        </w:rPr>
        <w:t>微</w:t>
      </w:r>
      <w:r>
        <w:rPr>
          <w:rFonts w:hint="default" w:ascii="Times New Roman" w:hAnsi="Times New Roman" w:eastAsia="方正仿宋简体" w:cs="Times New Roman"/>
          <w:b w:val="0"/>
          <w:bCs w:val="0"/>
          <w:color w:val="auto"/>
          <w:spacing w:val="0"/>
          <w:w w:val="100"/>
          <w:position w:val="0"/>
          <w:sz w:val="32"/>
          <w:szCs w:val="32"/>
          <w:highlight w:val="none"/>
          <w:lang w:eastAsia="zh-CN"/>
        </w:rPr>
        <w:t>政</w:t>
      </w:r>
      <w:r>
        <w:rPr>
          <w:rFonts w:hint="default" w:ascii="Times New Roman" w:hAnsi="Times New Roman" w:eastAsia="方正仿宋简体" w:cs="Times New Roman"/>
          <w:b w:val="0"/>
          <w:bCs w:val="0"/>
          <w:color w:val="auto"/>
          <w:spacing w:val="0"/>
          <w:w w:val="100"/>
          <w:position w:val="0"/>
          <w:sz w:val="32"/>
          <w:szCs w:val="32"/>
          <w:highlight w:val="none"/>
        </w:rPr>
        <w:t>发〔202</w:t>
      </w:r>
      <w:r>
        <w:rPr>
          <w:rFonts w:hint="default" w:ascii="Times New Roman" w:hAnsi="Times New Roman" w:eastAsia="方正仿宋简体" w:cs="Times New Roman"/>
          <w:b w:val="0"/>
          <w:bCs w:val="0"/>
          <w:color w:val="auto"/>
          <w:spacing w:val="0"/>
          <w:w w:val="100"/>
          <w:position w:val="0"/>
          <w:sz w:val="32"/>
          <w:szCs w:val="32"/>
          <w:highlight w:val="none"/>
          <w:lang w:val="en-US" w:eastAsia="zh-CN"/>
        </w:rPr>
        <w:t>2</w:t>
      </w:r>
      <w:r>
        <w:rPr>
          <w:rFonts w:hint="default" w:ascii="Times New Roman" w:hAnsi="Times New Roman" w:eastAsia="方正仿宋简体" w:cs="Times New Roman"/>
          <w:b w:val="0"/>
          <w:bCs w:val="0"/>
          <w:color w:val="auto"/>
          <w:spacing w:val="0"/>
          <w:w w:val="100"/>
          <w:position w:val="0"/>
          <w:sz w:val="32"/>
          <w:szCs w:val="32"/>
          <w:highlight w:val="none"/>
        </w:rPr>
        <w:t>〕</w:t>
      </w:r>
      <w:r>
        <w:rPr>
          <w:rFonts w:hint="eastAsia" w:eastAsia="方正仿宋简体" w:cs="Times New Roman"/>
          <w:b w:val="0"/>
          <w:bCs w:val="0"/>
          <w:color w:val="auto"/>
          <w:spacing w:val="0"/>
          <w:w w:val="100"/>
          <w:position w:val="0"/>
          <w:sz w:val="32"/>
          <w:szCs w:val="32"/>
          <w:highlight w:val="none"/>
          <w:lang w:val="en-US" w:eastAsia="zh-CN"/>
        </w:rPr>
        <w:t>2</w:t>
      </w:r>
      <w:r>
        <w:rPr>
          <w:rFonts w:hint="default" w:ascii="Times New Roman" w:hAnsi="Times New Roman" w:eastAsia="方正仿宋简体" w:cs="Times New Roman"/>
          <w:b w:val="0"/>
          <w:bCs w:val="0"/>
          <w:color w:val="auto"/>
          <w:spacing w:val="0"/>
          <w:w w:val="100"/>
          <w:position w:val="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仿宋简体" w:cs="Times New Roman"/>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bottom"/>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微山县人民政府</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关于印发微山县城市基础设施配套费征收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使用管理办法的通知</w:t>
      </w:r>
    </w:p>
    <w:bookmarkEnd w:id="0"/>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textAlignment w:val="bottom"/>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各乡、镇人民政府，各街道办事处，微山经济开发区管委会，县政府各部门、单位，有关企业：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bottom"/>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eastAsia="zh-CN"/>
        </w:rPr>
        <w:t>现将《</w:t>
      </w:r>
      <w:r>
        <w:rPr>
          <w:rFonts w:hint="eastAsia" w:ascii="方正仿宋简体" w:hAnsi="方正仿宋简体" w:eastAsia="方正仿宋简体" w:cs="方正仿宋简体"/>
          <w:sz w:val="32"/>
          <w:szCs w:val="32"/>
        </w:rPr>
        <w:t>微山县城市基础设施配套费征收使用管理办法</w:t>
      </w:r>
      <w:r>
        <w:rPr>
          <w:rFonts w:hint="eastAsia" w:ascii="方正仿宋简体" w:hAnsi="方正仿宋简体" w:eastAsia="方正仿宋简体" w:cs="方正仿宋简体"/>
          <w:sz w:val="32"/>
          <w:szCs w:val="32"/>
          <w:lang w:eastAsia="zh-CN"/>
        </w:rPr>
        <w:t>》印发给你们，请认真贯彻实施。</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方正仿宋简体" w:cs="Times New Roman"/>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5440" w:firstLineChars="1700"/>
        <w:textAlignment w:val="bottom"/>
        <w:rPr>
          <w:rFonts w:hint="eastAsia"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eastAsia="zh-CN"/>
        </w:rPr>
        <w:t>微山县人民政府</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5408" w:firstLineChars="1690"/>
        <w:textAlignment w:val="auto"/>
        <w:rPr>
          <w:rFonts w:hint="eastAsia"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2022年2月8日</w:t>
      </w:r>
    </w:p>
    <w:p>
      <w:pPr>
        <w:pStyle w:val="5"/>
        <w:keepNext w:val="0"/>
        <w:keepLines w:val="0"/>
        <w:pageBreakBefore w:val="0"/>
        <w:widowControl w:val="0"/>
        <w:kinsoku/>
        <w:wordWrap/>
        <w:overflowPunct/>
        <w:topLinePunct w:val="0"/>
        <w:autoSpaceDE/>
        <w:autoSpaceDN/>
        <w:bidi w:val="0"/>
        <w:adjustRightInd/>
        <w:snapToGrid/>
        <w:spacing w:after="0" w:line="600" w:lineRule="atLeast"/>
        <w:ind w:left="0" w:firstLine="640" w:firstLineChars="200"/>
        <w:jc w:val="left"/>
        <w:textAlignment w:val="auto"/>
        <w:rPr>
          <w:rFonts w:hint="default"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（此件公开发布）</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简体" w:hAnsi="方正黑体简体" w:eastAsia="方正黑体简体" w:cs="方正黑体简体"/>
          <w:b w:val="0"/>
          <w:bCs w:val="0"/>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微山县城市基础设施配套费征收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使用管理办法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简体" w:cs="Times New Roman"/>
          <w:b/>
          <w:bCs/>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第一条</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6"/>
          <w:sz w:val="32"/>
          <w:szCs w:val="32"/>
          <w:lang w:val="en-US" w:eastAsia="zh-CN"/>
        </w:rPr>
        <w:t>为加强和</w:t>
      </w:r>
      <w:r>
        <w:rPr>
          <w:rFonts w:hint="default" w:ascii="Times New Roman" w:hAnsi="Times New Roman" w:eastAsia="方正仿宋简体" w:cs="Times New Roman"/>
          <w:b w:val="0"/>
          <w:bCs w:val="0"/>
          <w:w w:val="97"/>
          <w:sz w:val="32"/>
          <w:szCs w:val="32"/>
          <w:lang w:val="en-US" w:eastAsia="zh-CN"/>
        </w:rPr>
        <w:t>规范城市基础设施配套费</w:t>
      </w:r>
      <w:r>
        <w:rPr>
          <w:rFonts w:hint="default" w:ascii="Times New Roman" w:hAnsi="Times New Roman" w:eastAsia="方正仿宋简体" w:cs="Times New Roman"/>
          <w:b w:val="0"/>
          <w:bCs w:val="0"/>
          <w:w w:val="98"/>
          <w:sz w:val="32"/>
          <w:szCs w:val="32"/>
          <w:lang w:val="en-US" w:eastAsia="zh-CN"/>
        </w:rPr>
        <w:t>征收使用管理</w:t>
      </w:r>
      <w:r>
        <w:rPr>
          <w:rFonts w:hint="default" w:ascii="Times New Roman" w:hAnsi="Times New Roman" w:eastAsia="方正仿宋简体" w:cs="Times New Roman"/>
          <w:b w:val="0"/>
          <w:bCs w:val="0"/>
          <w:sz w:val="32"/>
          <w:szCs w:val="32"/>
          <w:lang w:val="en-US" w:eastAsia="zh-CN"/>
        </w:rPr>
        <w:t xml:space="preserve">工作，促进城市基础设施建设，根据有关法律、法规、规章规定，结合我县实际，制定本办法。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第二条</w:t>
      </w:r>
      <w:r>
        <w:rPr>
          <w:rFonts w:hint="default" w:ascii="Times New Roman" w:hAnsi="Times New Roman" w:eastAsia="方正仿宋简体" w:cs="Times New Roman"/>
          <w:b w:val="0"/>
          <w:bCs w:val="0"/>
          <w:sz w:val="32"/>
          <w:szCs w:val="32"/>
          <w:lang w:val="en-US" w:eastAsia="zh-CN"/>
        </w:rPr>
        <w:t xml:space="preserve">  本办法所称城市基础设施配套费，是指用于微山县主城区各类基础设施配套建设的专项资金，包括综合配套费和专项配套费。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综合配套费，是指由县政府统筹使用，主要用于微山县城市规划区内城市道路、桥梁等市政公用基础设施建设的专项资金。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专项配套费，是指由城市供水、供气、供热、供电单位（以下统称专业经营单位）使用，用于建设项目规划红线外（建设项目规划边界线）供水、供气、供热、供电设施设备建设的专项资金。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第三条</w:t>
      </w:r>
      <w:r>
        <w:rPr>
          <w:rFonts w:hint="default" w:ascii="Times New Roman" w:hAnsi="Times New Roman" w:eastAsia="方正仿宋简体" w:cs="Times New Roman"/>
          <w:b w:val="0"/>
          <w:bCs w:val="0"/>
          <w:sz w:val="32"/>
          <w:szCs w:val="32"/>
          <w:lang w:val="en-US" w:eastAsia="zh-CN"/>
        </w:rPr>
        <w:t xml:space="preserve">  凡在微山县主城区范围内（北起微矿路，南至爱湖头，西起微山湖湖岸线，东至薛河）</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新建、扩建、改建建设项目的单位和个人（以下统称建设单位和个人），均应当按照规定缴纳城市基础设施配套费。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第四条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5"/>
          <w:sz w:val="32"/>
          <w:szCs w:val="32"/>
          <w:lang w:val="en-US" w:eastAsia="zh-CN"/>
        </w:rPr>
        <w:t>县财政局负责微山县城市基础设施配套费管理工</w:t>
      </w:r>
      <w:r>
        <w:rPr>
          <w:rFonts w:hint="default" w:ascii="Times New Roman" w:hAnsi="Times New Roman" w:eastAsia="方正仿宋简体" w:cs="Times New Roman"/>
          <w:b w:val="0"/>
          <w:bCs w:val="0"/>
          <w:sz w:val="32"/>
          <w:szCs w:val="32"/>
          <w:lang w:val="en-US" w:eastAsia="zh-CN"/>
        </w:rPr>
        <w:t>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w w:val="95"/>
          <w:sz w:val="32"/>
          <w:szCs w:val="32"/>
          <w:lang w:val="en-US" w:eastAsia="zh-CN"/>
        </w:rPr>
        <w:t>县住房城乡建设局负责微山县城市基础设施配套费征收工</w:t>
      </w:r>
      <w:r>
        <w:rPr>
          <w:rFonts w:hint="default" w:ascii="Times New Roman" w:hAnsi="Times New Roman" w:eastAsia="方正仿宋简体" w:cs="Times New Roman"/>
          <w:b w:val="0"/>
          <w:bCs w:val="0"/>
          <w:sz w:val="32"/>
          <w:szCs w:val="32"/>
          <w:lang w:val="en-US" w:eastAsia="zh-CN"/>
        </w:rPr>
        <w:t>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县自然资源和规划</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行政审批服务</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审计</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等部门按照各自职责，做好城市基础设施配套费征收使用管理相关工作。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default" w:ascii="Times New Roman" w:hAnsi="Times New Roman" w:eastAsia="方正仿宋简体" w:cs="Times New Roman"/>
          <w:b w:val="0"/>
          <w:bCs w:val="0"/>
          <w:color w:val="FF0000"/>
          <w:sz w:val="32"/>
          <w:szCs w:val="32"/>
          <w:lang w:val="en-US" w:eastAsia="zh-CN"/>
        </w:rPr>
        <w:t>　</w:t>
      </w:r>
      <w:r>
        <w:rPr>
          <w:rFonts w:hint="eastAsia" w:ascii="方正黑体简体" w:hAnsi="方正黑体简体" w:eastAsia="方正黑体简体" w:cs="方正黑体简体"/>
          <w:b w:val="0"/>
          <w:bCs w:val="0"/>
          <w:sz w:val="32"/>
          <w:szCs w:val="32"/>
          <w:lang w:val="en-US" w:eastAsia="zh-CN"/>
        </w:rPr>
        <w:t>第五条</w:t>
      </w:r>
      <w:r>
        <w:rPr>
          <w:rFonts w:hint="default" w:ascii="Times New Roman" w:hAnsi="Times New Roman" w:eastAsia="方正仿宋简体" w:cs="Times New Roman"/>
          <w:b w:val="0"/>
          <w:bCs w:val="0"/>
          <w:sz w:val="32"/>
          <w:szCs w:val="32"/>
          <w:lang w:val="en-US" w:eastAsia="zh-CN"/>
        </w:rPr>
        <w:t xml:space="preserve">  城市基础设施配套费征收标准</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（一）居住、公共建筑等民用建设项目，城市基础设施配套费按照下列标准征收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1．综合配套费按照建筑面积每平方米128元征收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2．专项配套费按照建筑面积</w:t>
      </w:r>
      <w:r>
        <w:rPr>
          <w:rFonts w:hint="eastAsia" w:ascii="Times New Roman" w:hAnsi="Times New Roman" w:eastAsia="方正仿宋简体" w:cs="Times New Roman"/>
          <w:b w:val="0"/>
          <w:bCs w:val="0"/>
          <w:sz w:val="32"/>
          <w:szCs w:val="32"/>
          <w:lang w:val="en-US" w:eastAsia="zh-CN"/>
        </w:rPr>
        <w:t>每</w:t>
      </w:r>
      <w:r>
        <w:rPr>
          <w:rFonts w:hint="default" w:ascii="Times New Roman" w:hAnsi="Times New Roman" w:eastAsia="方正仿宋简体" w:cs="Times New Roman"/>
          <w:b w:val="0"/>
          <w:bCs w:val="0"/>
          <w:sz w:val="32"/>
          <w:szCs w:val="32"/>
          <w:lang w:val="en-US" w:eastAsia="zh-CN"/>
        </w:rPr>
        <w:t>平方米71元征收</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其中</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 xml:space="preserve">供水11元、供气8元、供热38元、供电14元（含高层双电源）。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（二）工业企业建设项目，综合配套费按照下列标准征收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1．生产经营性建设项目综合配套费，按照建筑面积每平方米73元征收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2．非生产经营性建设项目综合配套费，按照建筑面积每平方米128元征收。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（三）服务业建设项目综合配套费，按照建筑面积每平方米128元征收。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both"/>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第六条</w:t>
      </w:r>
      <w:r>
        <w:rPr>
          <w:rFonts w:hint="default" w:ascii="Times New Roman" w:hAnsi="Times New Roman" w:eastAsia="方正仿宋简体" w:cs="Times New Roman"/>
          <w:b w:val="0"/>
          <w:bCs w:val="0"/>
          <w:sz w:val="32"/>
          <w:szCs w:val="32"/>
          <w:lang w:val="en-US" w:eastAsia="zh-CN"/>
        </w:rPr>
        <w:t xml:space="preserve">  建设单位和个人应当在领取建筑工程施工许可证时</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书面承诺城市基础设施配套费缴纳时间。</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第七条</w:t>
      </w:r>
      <w:r>
        <w:rPr>
          <w:rFonts w:hint="default" w:ascii="Times New Roman" w:hAnsi="Times New Roman" w:eastAsia="方正仿宋简体" w:cs="Times New Roman"/>
          <w:b w:val="0"/>
          <w:bCs w:val="0"/>
          <w:sz w:val="32"/>
          <w:szCs w:val="32"/>
          <w:lang w:val="en-US" w:eastAsia="zh-CN"/>
        </w:rPr>
        <w:t xml:space="preserve">  县住房城乡建设局征收城市基础设施配套费时，应当向缴款人开具财政部或省级财政部门统一印制（监制）的财政票据。</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建设单位和个人应当通过山东省非税收入征收系统，将城市基础设施配套费缴入县财政。</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第八条</w:t>
      </w:r>
      <w:r>
        <w:rPr>
          <w:rFonts w:hint="default" w:ascii="Times New Roman" w:hAnsi="Times New Roman" w:eastAsia="方正仿宋简体" w:cs="Times New Roman"/>
          <w:b w:val="0"/>
          <w:bCs w:val="0"/>
          <w:sz w:val="32"/>
          <w:szCs w:val="32"/>
          <w:lang w:val="en-US" w:eastAsia="zh-CN"/>
        </w:rPr>
        <w:t xml:space="preserve">  建设项目</w:t>
      </w:r>
      <w:r>
        <w:rPr>
          <w:rFonts w:hint="eastAsia" w:eastAsia="方正仿宋简体" w:cs="Times New Roman"/>
          <w:b w:val="0"/>
          <w:bCs w:val="0"/>
          <w:sz w:val="32"/>
          <w:szCs w:val="32"/>
          <w:lang w:val="en-US" w:eastAsia="zh-CN"/>
        </w:rPr>
        <w:t>为</w:t>
      </w:r>
      <w:r>
        <w:rPr>
          <w:rFonts w:hint="default" w:ascii="Times New Roman" w:hAnsi="Times New Roman" w:eastAsia="方正仿宋简体" w:cs="Times New Roman"/>
          <w:b w:val="0"/>
          <w:bCs w:val="0"/>
          <w:sz w:val="32"/>
          <w:szCs w:val="32"/>
          <w:lang w:val="en-US" w:eastAsia="zh-CN"/>
        </w:rPr>
        <w:t>非商业用途的地下室、地上储藏室、架空层和附属设施等，不缴纳综合配套费。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建设项目不需要专业经营单位供水、供气、供热、供电的，不缴纳相应专项配套费。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第九条</w:t>
      </w:r>
      <w:r>
        <w:rPr>
          <w:rFonts w:hint="default" w:ascii="Times New Roman" w:hAnsi="Times New Roman" w:eastAsia="方正仿宋简体" w:cs="Times New Roman"/>
          <w:b w:val="0"/>
          <w:bCs w:val="0"/>
          <w:sz w:val="32"/>
          <w:szCs w:val="32"/>
          <w:lang w:val="en-US" w:eastAsia="zh-CN"/>
        </w:rPr>
        <w:t xml:space="preserve">  超低能耗被动式建设项目、利用清洁能源方式采暖</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包括地源热泵、水源热泵、电能、燃气炉和空气能等）的建设项目，不缴纳供热专项配套费。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第十条</w:t>
      </w:r>
      <w:r>
        <w:rPr>
          <w:rFonts w:hint="default" w:ascii="Times New Roman" w:hAnsi="Times New Roman" w:eastAsia="方正仿宋简体" w:cs="Times New Roman"/>
          <w:b w:val="0"/>
          <w:bCs w:val="0"/>
          <w:sz w:val="32"/>
          <w:szCs w:val="32"/>
          <w:lang w:val="en-US" w:eastAsia="zh-CN"/>
        </w:rPr>
        <w:t xml:space="preserve">  对于免缴综合配套费的建设项目，应当按照国家、省有关规定执行。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第十一条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8"/>
          <w:sz w:val="32"/>
          <w:szCs w:val="32"/>
          <w:lang w:val="en-US" w:eastAsia="zh-CN"/>
        </w:rPr>
        <w:t>已按照本办法</w:t>
      </w:r>
      <w:r>
        <w:rPr>
          <w:rFonts w:hint="default" w:ascii="Times New Roman" w:hAnsi="Times New Roman" w:eastAsia="方正仿宋简体" w:cs="Times New Roman"/>
          <w:b w:val="0"/>
          <w:bCs w:val="0"/>
          <w:w w:val="99"/>
          <w:sz w:val="32"/>
          <w:szCs w:val="32"/>
          <w:lang w:val="en-US" w:eastAsia="zh-CN"/>
        </w:rPr>
        <w:t>规定享受城市基础设施配套费免缴</w:t>
      </w:r>
      <w:r>
        <w:rPr>
          <w:rFonts w:hint="default" w:ascii="Times New Roman" w:hAnsi="Times New Roman" w:eastAsia="方正仿宋简体" w:cs="Times New Roman"/>
          <w:b w:val="0"/>
          <w:bCs w:val="0"/>
          <w:sz w:val="32"/>
          <w:szCs w:val="32"/>
          <w:lang w:val="en-US" w:eastAsia="zh-CN"/>
        </w:rPr>
        <w:t>政策的建设项目</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改变原批准用途的，必须按照本办法规定补缴城市基础设施配套费。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第十二条</w:t>
      </w:r>
      <w:r>
        <w:rPr>
          <w:rFonts w:hint="default" w:ascii="Times New Roman" w:hAnsi="Times New Roman" w:eastAsia="方正仿宋简体" w:cs="Times New Roman"/>
          <w:b w:val="0"/>
          <w:bCs w:val="0"/>
          <w:sz w:val="32"/>
          <w:szCs w:val="32"/>
          <w:lang w:val="en-US" w:eastAsia="zh-CN"/>
        </w:rPr>
        <w:t xml:space="preserve">  建设项目增加建筑面积的，建设单位和个人必须按照本办法规定</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补缴增加建筑面积的城市基础设施配套费。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第十三条</w:t>
      </w:r>
      <w:r>
        <w:rPr>
          <w:rFonts w:hint="default" w:ascii="Times New Roman" w:hAnsi="Times New Roman" w:eastAsia="方正仿宋简体" w:cs="Times New Roman"/>
          <w:b w:val="0"/>
          <w:bCs w:val="0"/>
          <w:sz w:val="32"/>
          <w:szCs w:val="32"/>
          <w:lang w:val="en-US" w:eastAsia="zh-CN"/>
        </w:rPr>
        <w:t xml:space="preserve">  城市基础设施配套费纳入县财政预算，实行年度收支预算管理。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专项配套费按照专款专用的原则，全额用于建设项目红线外专项配套工程建设。</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第十四条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103"/>
          <w:sz w:val="32"/>
          <w:szCs w:val="32"/>
          <w:lang w:val="en-US" w:eastAsia="zh-CN"/>
        </w:rPr>
        <w:t>县住房城乡建设局</w:t>
      </w:r>
      <w:r>
        <w:rPr>
          <w:rFonts w:hint="default" w:ascii="Times New Roman" w:hAnsi="Times New Roman" w:eastAsia="方正仿宋简体" w:cs="Times New Roman"/>
          <w:b w:val="0"/>
          <w:bCs w:val="0"/>
          <w:w w:val="104"/>
          <w:sz w:val="32"/>
          <w:szCs w:val="32"/>
          <w:lang w:val="en-US" w:eastAsia="zh-CN"/>
        </w:rPr>
        <w:t>应当在每年上报本部门预算</w:t>
      </w:r>
      <w:r>
        <w:rPr>
          <w:rFonts w:hint="default" w:ascii="Times New Roman" w:hAnsi="Times New Roman" w:eastAsia="方正仿宋简体" w:cs="Times New Roman"/>
          <w:b w:val="0"/>
          <w:bCs w:val="0"/>
          <w:sz w:val="32"/>
          <w:szCs w:val="32"/>
          <w:lang w:val="en-US" w:eastAsia="zh-CN"/>
        </w:rPr>
        <w:t>前，编制完成下一年度专项配套费使用计划，按照规定程序</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报经县政府批准后</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下达下一年度专项配套费使用计划。</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第十五条</w:t>
      </w:r>
      <w:r>
        <w:rPr>
          <w:rFonts w:hint="default" w:ascii="Times New Roman" w:hAnsi="Times New Roman" w:eastAsia="方正仿宋简体" w:cs="Times New Roman"/>
          <w:b w:val="0"/>
          <w:bCs w:val="0"/>
          <w:sz w:val="32"/>
          <w:szCs w:val="32"/>
          <w:lang w:val="en-US" w:eastAsia="zh-CN"/>
        </w:rPr>
        <w:t xml:space="preserve">  建设项目缴纳城市基础设施配套费后</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县财政局应当按照下列规定向专业经营单位拨付专项配套费：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（一）自收到专项配套费使用申请之日起20个工作日内，拨付已征收专项配套费的70%；</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（二）建设项目红线外供水、供气、供热、供电专项配套工程竣工验收合格，符合接入条件后，自收到专项配套费使用申请之日起20个工作日内，拨付已征收专项配套费的30%。</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color w:val="FF000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第十六条</w:t>
      </w:r>
      <w:r>
        <w:rPr>
          <w:rFonts w:hint="default" w:ascii="Times New Roman" w:hAnsi="Times New Roman" w:eastAsia="方正仿宋简体" w:cs="Times New Roman"/>
          <w:b w:val="0"/>
          <w:bCs w:val="0"/>
          <w:sz w:val="32"/>
          <w:szCs w:val="32"/>
          <w:lang w:val="en-US" w:eastAsia="zh-CN"/>
        </w:rPr>
        <w:t xml:space="preserve">  城市基础设施配套费征收、管理部门及专业经营单位应当建立联席会议制度，定期召开协调会议，研究解决城市基础设施配套费征收、使用、管理工作中的重大问题。</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第十七条</w:t>
      </w:r>
      <w:r>
        <w:rPr>
          <w:rFonts w:hint="default" w:ascii="Times New Roman" w:hAnsi="Times New Roman" w:eastAsia="方正仿宋简体" w:cs="Times New Roman"/>
          <w:b w:val="0"/>
          <w:bCs w:val="0"/>
          <w:sz w:val="32"/>
          <w:szCs w:val="32"/>
          <w:lang w:val="en-US" w:eastAsia="zh-CN"/>
        </w:rPr>
        <w:t xml:space="preserve">  自</w:t>
      </w:r>
      <w:r>
        <w:rPr>
          <w:rFonts w:hint="eastAsia" w:ascii="Times New Roman" w:hAnsi="Times New Roman" w:eastAsia="方正仿宋简体" w:cs="Times New Roman"/>
          <w:b w:val="0"/>
          <w:bCs w:val="0"/>
          <w:sz w:val="32"/>
          <w:szCs w:val="32"/>
          <w:lang w:val="en-US" w:eastAsia="zh-CN"/>
        </w:rPr>
        <w:t>本</w:t>
      </w:r>
      <w:r>
        <w:rPr>
          <w:rFonts w:hint="default" w:ascii="Times New Roman" w:hAnsi="Times New Roman" w:eastAsia="方正仿宋简体" w:cs="Times New Roman"/>
          <w:b w:val="0"/>
          <w:bCs w:val="0"/>
          <w:sz w:val="32"/>
          <w:szCs w:val="32"/>
          <w:lang w:val="en-US" w:eastAsia="zh-CN"/>
        </w:rPr>
        <w:t>办法施行之日起，</w:t>
      </w:r>
      <w:r>
        <w:rPr>
          <w:rFonts w:hint="eastAsia" w:ascii="Times New Roman" w:hAnsi="Times New Roman" w:eastAsia="方正仿宋简体" w:cs="Times New Roman"/>
          <w:b w:val="0"/>
          <w:bCs w:val="0"/>
          <w:sz w:val="32"/>
          <w:szCs w:val="32"/>
          <w:lang w:val="en-US" w:eastAsia="zh-CN"/>
        </w:rPr>
        <w:t>微山县</w:t>
      </w:r>
      <w:r>
        <w:rPr>
          <w:rFonts w:hint="default" w:ascii="Times New Roman" w:hAnsi="Times New Roman" w:eastAsia="方正仿宋简体" w:cs="Times New Roman"/>
          <w:b w:val="0"/>
          <w:bCs w:val="0"/>
          <w:sz w:val="32"/>
          <w:szCs w:val="32"/>
          <w:lang w:val="en-US" w:eastAsia="zh-CN"/>
        </w:rPr>
        <w:t>主城区的专业经营单位不得向建设单位和个人另行收取红线外供水、供气、供热、供电相关配套费用。</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建设项目城市基础设施配套费和红线内供水、供气、供热、供电相关配套（含各类计量装置、分户控制系统）建设费用计入建设成本。房地产开发企业在商品房销售价格外，不得向购房者收取或者以任何名义变相收取供水、供气、供热、供电相关配套（开口）费用。</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第十八条</w:t>
      </w:r>
      <w:r>
        <w:rPr>
          <w:rFonts w:hint="default" w:ascii="Times New Roman" w:hAnsi="Times New Roman" w:eastAsia="方正仿宋简体" w:cs="Times New Roman"/>
          <w:b w:val="0"/>
          <w:bCs w:val="0"/>
          <w:sz w:val="32"/>
          <w:szCs w:val="32"/>
          <w:lang w:val="en-US" w:eastAsia="zh-CN"/>
        </w:rPr>
        <w:t xml:space="preserve">  本办法自印发之日起施行，有效期至2024年8月30日。</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本办法施行前，已按照《微山县城市基础设施配套费征收使用管理办法》（微政发〔2018〕8号）、《微山县城市基础设施配套费征收使用管理</w:t>
      </w:r>
      <w:r>
        <w:rPr>
          <w:rFonts w:hint="eastAsia" w:eastAsia="方正仿宋简体" w:cs="Times New Roman"/>
          <w:b w:val="0"/>
          <w:bCs w:val="0"/>
          <w:sz w:val="32"/>
          <w:szCs w:val="32"/>
          <w:lang w:val="en-US" w:eastAsia="zh-CN"/>
        </w:rPr>
        <w:t>暂行</w:t>
      </w:r>
      <w:r>
        <w:rPr>
          <w:rFonts w:hint="default" w:ascii="Times New Roman" w:hAnsi="Times New Roman" w:eastAsia="方正仿宋简体" w:cs="Times New Roman"/>
          <w:b w:val="0"/>
          <w:bCs w:val="0"/>
          <w:sz w:val="32"/>
          <w:szCs w:val="32"/>
          <w:lang w:val="en-US" w:eastAsia="zh-CN"/>
        </w:rPr>
        <w:t>办法》（微政发〔2019〕7号）规定缴纳</w:t>
      </w:r>
      <w:r>
        <w:rPr>
          <w:rFonts w:hint="eastAsia" w:ascii="Times New Roman" w:hAnsi="Times New Roman" w:eastAsia="方正仿宋简体" w:cs="Times New Roman"/>
          <w:b w:val="0"/>
          <w:bCs w:val="0"/>
          <w:sz w:val="32"/>
          <w:szCs w:val="32"/>
          <w:lang w:val="en-US" w:eastAsia="zh-CN"/>
        </w:rPr>
        <w:t>的</w:t>
      </w:r>
      <w:r>
        <w:rPr>
          <w:rFonts w:hint="default" w:ascii="Times New Roman" w:hAnsi="Times New Roman" w:eastAsia="方正仿宋简体" w:cs="Times New Roman"/>
          <w:b w:val="0"/>
          <w:bCs w:val="0"/>
          <w:w w:val="104"/>
          <w:sz w:val="32"/>
          <w:szCs w:val="32"/>
          <w:lang w:val="en-US" w:eastAsia="zh-CN"/>
        </w:rPr>
        <w:t>城市基础设施配套费，但尚未完成资金拨付的，仍按照微政发</w:t>
      </w:r>
      <w:r>
        <w:rPr>
          <w:rFonts w:hint="default" w:ascii="Times New Roman" w:hAnsi="Times New Roman" w:eastAsia="方正仿宋简体" w:cs="Times New Roman"/>
          <w:b w:val="0"/>
          <w:bCs w:val="0"/>
          <w:sz w:val="32"/>
          <w:szCs w:val="32"/>
          <w:lang w:val="en-US" w:eastAsia="zh-CN"/>
        </w:rPr>
        <w:t xml:space="preserve">〔2018〕8号、微政发〔2019〕7号关于资金拨付的相关规定办理。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自本办法施行之日起，凡未缴纳城市基础设施配套费的建设项目，均应当按照本办法规定缴纳城市基础设施配套费。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2018年1月1日前，建设单位或者个人自愿与专业经营单位签订建设项目专项配套工程建设合同的，按照合同约定执行。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附件：微山县城市基础设施配套费征收标准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32"/>
          <w:szCs w:val="32"/>
        </w:rPr>
        <w:sectPr>
          <w:footerReference r:id="rId5" w:type="default"/>
          <w:pgSz w:w="11906" w:h="16838"/>
          <w:pgMar w:top="2098" w:right="1474" w:bottom="1984" w:left="1587" w:header="851" w:footer="1587" w:gutter="0"/>
          <w:pgNumType w:fmt="decimal"/>
          <w:cols w:space="425" w:num="1"/>
          <w:docGrid w:type="lines" w:linePitch="312" w:charSpace="0"/>
        </w:sect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 xml:space="preserve">附件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微山</w:t>
      </w:r>
      <w:r>
        <w:rPr>
          <w:rFonts w:hint="eastAsia" w:ascii="方正小标宋简体" w:hAnsi="方正小标宋简体" w:eastAsia="方正小标宋简体" w:cs="方正小标宋简体"/>
          <w:b w:val="0"/>
          <w:bCs w:val="0"/>
          <w:sz w:val="44"/>
          <w:szCs w:val="44"/>
        </w:rPr>
        <w:t>县城市基础设施配套费征收标准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tbl>
      <w:tblPr>
        <w:tblStyle w:val="20"/>
        <w:tblW w:w="94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207"/>
        <w:gridCol w:w="2171"/>
        <w:gridCol w:w="1548"/>
        <w:gridCol w:w="15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4207" w:type="dxa"/>
            <w:tcBorders>
              <w:top w:val="single" w:color="auto" w:sz="4" w:space="0"/>
              <w:left w:val="outset" w:color="auto" w:sz="6"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项</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征收标准</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（元/平方米）</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备</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注</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一、居住、公共建筑等民用</w:t>
            </w:r>
            <w:r>
              <w:rPr>
                <w:rFonts w:hint="default" w:ascii="Times New Roman" w:hAnsi="Times New Roman" w:eastAsia="方正仿宋简体" w:cs="Times New Roman"/>
                <w:b w:val="0"/>
                <w:bCs w:val="0"/>
                <w:sz w:val="24"/>
                <w:szCs w:val="24"/>
                <w:lang w:eastAsia="zh-CN"/>
              </w:rPr>
              <w:t>建设</w:t>
            </w:r>
            <w:r>
              <w:rPr>
                <w:rFonts w:hint="default" w:ascii="Times New Roman" w:hAnsi="Times New Roman" w:eastAsia="方正仿宋简体" w:cs="Times New Roman"/>
                <w:b w:val="0"/>
                <w:bCs w:val="0"/>
                <w:sz w:val="24"/>
                <w:szCs w:val="24"/>
              </w:rPr>
              <w:t>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199</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（一）综合配套费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9"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（二）专项配套费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71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4207"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720" w:firstLineChars="3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其中：</w:t>
            </w:r>
            <w:r>
              <w:rPr>
                <w:rFonts w:hint="default" w:ascii="Times New Roman" w:hAnsi="Times New Roman" w:eastAsia="方正仿宋简体" w:cs="Times New Roman"/>
                <w:b w:val="0"/>
                <w:bCs w:val="0"/>
                <w:sz w:val="24"/>
                <w:szCs w:val="24"/>
                <w:lang w:val="en-US" w:eastAsia="zh-CN"/>
              </w:rPr>
              <w:t>1．</w:t>
            </w:r>
            <w:r>
              <w:rPr>
                <w:rFonts w:hint="default" w:ascii="Times New Roman" w:hAnsi="Times New Roman" w:eastAsia="方正仿宋简体" w:cs="Times New Roman"/>
                <w:b w:val="0"/>
                <w:bCs w:val="0"/>
                <w:sz w:val="24"/>
                <w:szCs w:val="24"/>
              </w:rPr>
              <w:t>供水</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11</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2</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供气</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val="en-US" w:eastAsia="zh-CN"/>
              </w:rPr>
              <w:t>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val="en-US" w:eastAsia="zh-CN"/>
              </w:rPr>
              <w:t>3．</w:t>
            </w:r>
            <w:r>
              <w:rPr>
                <w:rFonts w:hint="default" w:ascii="Times New Roman" w:hAnsi="Times New Roman" w:eastAsia="方正仿宋简体" w:cs="Times New Roman"/>
                <w:b w:val="0"/>
                <w:bCs w:val="0"/>
                <w:sz w:val="24"/>
                <w:szCs w:val="24"/>
              </w:rPr>
              <w:t>供热</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38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4</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供电</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14</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含高层双电源</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二、工业</w:t>
            </w:r>
            <w:r>
              <w:rPr>
                <w:rFonts w:hint="default" w:ascii="Times New Roman" w:hAnsi="Times New Roman" w:eastAsia="方正仿宋简体" w:cs="Times New Roman"/>
                <w:b w:val="0"/>
                <w:bCs w:val="0"/>
                <w:sz w:val="24"/>
                <w:szCs w:val="24"/>
                <w:lang w:eastAsia="zh-CN"/>
              </w:rPr>
              <w:t>企业</w:t>
            </w:r>
            <w:r>
              <w:rPr>
                <w:rFonts w:hint="default" w:ascii="Times New Roman" w:hAnsi="Times New Roman" w:eastAsia="方正仿宋简体" w:cs="Times New Roman"/>
                <w:b w:val="0"/>
                <w:bCs w:val="0"/>
                <w:sz w:val="24"/>
                <w:szCs w:val="24"/>
              </w:rPr>
              <w:t>建设项目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eastAsia" w:eastAsia="方正仿宋简体" w:cs="Times New Roman"/>
                <w:b w:val="0"/>
                <w:bCs w:val="0"/>
                <w:sz w:val="24"/>
                <w:szCs w:val="24"/>
                <w:lang w:val="en-US" w:eastAsia="zh-CN"/>
              </w:rPr>
              <w:t xml:space="preserve">  </w:t>
            </w:r>
            <w:r>
              <w:rPr>
                <w:rFonts w:hint="default" w:ascii="Times New Roman" w:hAnsi="Times New Roman" w:eastAsia="方正仿宋简体" w:cs="Times New Roman"/>
                <w:b w:val="0"/>
                <w:bCs w:val="0"/>
                <w:sz w:val="24"/>
                <w:szCs w:val="24"/>
                <w:lang w:eastAsia="zh-CN"/>
              </w:rPr>
              <w:t>其中：</w:t>
            </w:r>
            <w:r>
              <w:rPr>
                <w:rFonts w:hint="default" w:ascii="Times New Roman" w:hAnsi="Times New Roman" w:eastAsia="方正仿宋简体" w:cs="Times New Roman"/>
                <w:b w:val="0"/>
                <w:bCs w:val="0"/>
                <w:sz w:val="24"/>
                <w:szCs w:val="24"/>
                <w:lang w:val="en-US" w:eastAsia="zh-CN"/>
              </w:rPr>
              <w:t> 1．</w:t>
            </w:r>
            <w:r>
              <w:rPr>
                <w:rFonts w:hint="default" w:ascii="Times New Roman" w:hAnsi="Times New Roman" w:eastAsia="方正仿宋简体" w:cs="Times New Roman"/>
                <w:b w:val="0"/>
                <w:bCs w:val="0"/>
                <w:sz w:val="24"/>
                <w:szCs w:val="24"/>
              </w:rPr>
              <w:t>生产经营性综合配套费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73</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 xml:space="preserve">        </w:t>
            </w:r>
            <w:r>
              <w:rPr>
                <w:rFonts w:hint="eastAsia" w:eastAsia="方正仿宋简体" w:cs="Times New Roman"/>
                <w:b w:val="0"/>
                <w:bCs w:val="0"/>
                <w:sz w:val="24"/>
                <w:szCs w:val="24"/>
                <w:lang w:val="en-US" w:eastAsia="zh-CN"/>
              </w:rPr>
              <w:t xml:space="preserve">  </w:t>
            </w:r>
            <w:r>
              <w:rPr>
                <w:rFonts w:hint="eastAsia" w:ascii="Times New Roman" w:hAnsi="Times New Roman" w:eastAsia="方正仿宋简体" w:cs="Times New Roman"/>
                <w:b w:val="0"/>
                <w:bCs w:val="0"/>
                <w:sz w:val="24"/>
                <w:szCs w:val="24"/>
                <w:lang w:val="en-US" w:eastAsia="zh-CN"/>
              </w:rPr>
              <w:t>2</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非生产经营性综合配</w:t>
            </w:r>
            <w:r>
              <w:rPr>
                <w:rFonts w:hint="eastAsia" w:ascii="Times New Roman" w:hAnsi="Times New Roman" w:eastAsia="方正仿宋简体" w:cs="Times New Roman"/>
                <w:b w:val="0"/>
                <w:bCs w:val="0"/>
                <w:sz w:val="24"/>
                <w:szCs w:val="24"/>
                <w:lang w:eastAsia="zh-CN"/>
              </w:rPr>
              <w:t>套</w:t>
            </w:r>
            <w:r>
              <w:rPr>
                <w:rFonts w:hint="default" w:ascii="Times New Roman" w:hAnsi="Times New Roman" w:eastAsia="方正仿宋简体" w:cs="Times New Roman"/>
                <w:b w:val="0"/>
                <w:bCs w:val="0"/>
                <w:sz w:val="24"/>
                <w:szCs w:val="24"/>
              </w:rPr>
              <w:t>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eastAsia="zh-CN"/>
              </w:rPr>
              <w:t>三、服务业建设</w:t>
            </w:r>
            <w:r>
              <w:rPr>
                <w:rFonts w:hint="default" w:ascii="Times New Roman" w:hAnsi="Times New Roman" w:eastAsia="方正仿宋简体" w:cs="Times New Roman"/>
                <w:b w:val="0"/>
                <w:bCs w:val="0"/>
                <w:sz w:val="24"/>
                <w:szCs w:val="24"/>
              </w:rPr>
              <w:t>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tabs>
          <w:tab w:val="left" w:pos="3691"/>
        </w:tabs>
        <w:kinsoku/>
        <w:wordWrap/>
        <w:overflowPunct/>
        <w:topLinePunct w:val="0"/>
        <w:autoSpaceDE/>
        <w:autoSpaceDN/>
        <w:bidi w:val="0"/>
        <w:adjustRightInd/>
        <w:snapToGrid/>
        <w:spacing w:line="360" w:lineRule="exact"/>
        <w:ind w:left="0"/>
        <w:textAlignment w:val="auto"/>
        <w:rPr>
          <w:rFonts w:hint="default" w:ascii="Times New Roman" w:hAnsi="Times New Roman" w:eastAsia="方正小标宋简体" w:cs="Times New Roman"/>
          <w:b/>
          <w:sz w:val="32"/>
          <w:szCs w:val="32"/>
          <w:lang w:bidi="ar"/>
        </w:rPr>
      </w:pPr>
      <w:r>
        <w:rPr>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205105</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pt;margin-top:16.15pt;height:0pt;width:446.25pt;z-index:251661312;mso-width-relative:page;mso-height-relative:page;" filled="f" stroked="t" coordsize="21600,21600" o:gfxdata="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4CUztQAAAAHAQAADwAAAAAAAAABACAAAAAiAAAAZHJzL2Rvd25yZXYueG1sUEsBAhQAFAAAAAgA&#10;h07iQDlnT6/wAQAA1QMAAA4AAAAAAAAAAQAgAAAAIwEAAGRycy9lMm9Eb2MueG1sUEsFBgAAAAAG&#10;AAYAWQEAAIUFAAAAAA==&#10;">
                <v:fill on="f" focussize="0,0"/>
                <v:stroke color="#000000 [3200]" joinstyle="round"/>
                <v:imagedata o:title=""/>
                <o:lock v:ext="edit" aspectratio="f"/>
              </v:line>
            </w:pict>
          </mc:Fallback>
        </mc:AlternateContent>
      </w:r>
      <w:r>
        <w:rPr>
          <w:rFonts w:hint="eastAsia" w:eastAsia="方正小标宋简体" w:cs="Times New Roman"/>
          <w:b/>
          <w:sz w:val="32"/>
          <w:szCs w:val="32"/>
          <w:lang w:eastAsia="zh-CN" w:bidi="ar"/>
        </w:rPr>
        <w:tab/>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简体" w:cs="Times New Roman"/>
          <w:b w:val="0"/>
          <w:bCs/>
          <w:color w:val="000000"/>
          <w:sz w:val="28"/>
          <w:szCs w:val="28"/>
          <w:lang w:bidi="ar"/>
        </w:rPr>
      </w:pPr>
      <w:r>
        <w:rPr>
          <w:rFonts w:hint="default" w:ascii="Times New Roman" w:hAnsi="Times New Roman" w:eastAsia="方正仿宋简体" w:cs="Times New Roman"/>
          <w:b w:val="0"/>
          <w:bCs/>
          <w:sz w:val="28"/>
          <w:szCs w:val="28"/>
          <w:lang w:bidi="ar"/>
        </w:rPr>
        <w:t>抄送：</w:t>
      </w:r>
      <w:r>
        <w:rPr>
          <w:rFonts w:hint="default" w:ascii="Times New Roman" w:hAnsi="Times New Roman" w:eastAsia="方正仿宋简体" w:cs="Times New Roman"/>
          <w:b w:val="0"/>
          <w:bCs/>
          <w:sz w:val="28"/>
          <w:szCs w:val="28"/>
          <w:lang w:eastAsia="zh-CN" w:bidi="ar"/>
        </w:rPr>
        <w:t>县</w:t>
      </w:r>
      <w:r>
        <w:rPr>
          <w:rFonts w:hint="default" w:ascii="Times New Roman" w:hAnsi="Times New Roman" w:eastAsia="方正仿宋简体" w:cs="Times New Roman"/>
          <w:b w:val="0"/>
          <w:bCs/>
          <w:color w:val="000000"/>
          <w:sz w:val="28"/>
          <w:szCs w:val="28"/>
          <w:lang w:bidi="ar"/>
        </w:rPr>
        <w:t>委</w:t>
      </w:r>
      <w:r>
        <w:rPr>
          <w:rFonts w:hint="eastAsia" w:ascii="Times New Roman" w:hAnsi="Times New Roman" w:eastAsia="方正仿宋简体" w:cs="Times New Roman"/>
          <w:b w:val="0"/>
          <w:bCs/>
          <w:color w:val="000000"/>
          <w:sz w:val="28"/>
          <w:szCs w:val="28"/>
          <w:lang w:eastAsia="zh-CN" w:bidi="ar"/>
        </w:rPr>
        <w:t>各</w:t>
      </w:r>
      <w:r>
        <w:rPr>
          <w:rFonts w:hint="default" w:ascii="Times New Roman" w:hAnsi="Times New Roman" w:eastAsia="方正仿宋简体" w:cs="Times New Roman"/>
          <w:b w:val="0"/>
          <w:bCs/>
          <w:color w:val="000000"/>
          <w:sz w:val="28"/>
          <w:szCs w:val="28"/>
          <w:lang w:bidi="ar"/>
        </w:rPr>
        <w:t>部门，</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人大常委会办公室，</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政协办公室，</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监委，</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120" w:firstLineChars="4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法院，</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检察院，</w:t>
      </w:r>
      <w:r>
        <w:rPr>
          <w:rFonts w:hint="default" w:ascii="Times New Roman" w:hAnsi="Times New Roman" w:eastAsia="方正仿宋简体" w:cs="Times New Roman"/>
          <w:b w:val="0"/>
          <w:bCs/>
          <w:color w:val="000000"/>
          <w:sz w:val="28"/>
          <w:szCs w:val="28"/>
          <w:lang w:eastAsia="zh-CN" w:bidi="ar"/>
        </w:rPr>
        <w:t>县人武部</w:t>
      </w:r>
      <w:r>
        <w:rPr>
          <w:rFonts w:hint="default" w:ascii="Times New Roman" w:hAnsi="Times New Roman" w:eastAsia="方正仿宋简体" w:cs="Times New Roman"/>
          <w:b w:val="0"/>
          <w:bCs/>
          <w:color w:val="000000"/>
          <w:sz w:val="28"/>
          <w:szCs w:val="28"/>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简体" w:cs="Times New Roman"/>
          <w:b w:val="0"/>
          <w:bCs/>
          <w:sz w:val="28"/>
          <w:szCs w:val="28"/>
          <w:lang w:val="en-US" w:eastAsia="zh-CN"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46355</wp:posOffset>
                </wp:positionV>
                <wp:extent cx="56673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3.65pt;height:0pt;width:446.25pt;z-index:251660288;mso-width-relative:page;mso-height-relative:page;" filled="f" stroked="t" coordsize="21600,21600" o:gfxdata="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UIY&#10;v9EAAAAEAQAADwAAAAAAAAABACAAAAAiAAAAZHJzL2Rvd25yZXYueG1sUEsBAhQAFAAAAAgAh07i&#10;QBkX7CjwAQAA1QMAAA4AAAAAAAAAAQAgAAAAIAEAAGRycy9lMm9Eb2MueG1sUEsFBgAAAAAGAAYA&#10;WQEAAIIFA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389255</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979805" y="9375775"/>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pt;margin-top:30.65pt;height:0pt;width:446.25pt;z-index:251659264;mso-width-relative:page;mso-height-relative:page;" filled="f" stroked="t" coordsize="21600,21600" o:gfxdata="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rneb1gAAAAgBAAAPAAAAAAAAAAEAIAAAACIAAABkcnMvZG93bnJldi54&#10;bWxQSwECFAAUAAAACACHTuJARBUbEfwBAADeAwAADgAAAAAAAAABACAAAAAlAQAAZHJzL2Uyb0Rv&#10;Yy54bWxQSwUGAAAAAAYABgBZAQAAkwUAAAAA&#10;">
                <v:fill on="f" focussize="0,0"/>
                <v:stroke color="#000000 [3200]" joinstyle="round"/>
                <v:imagedata o:title=""/>
                <o:lock v:ext="edit" aspectratio="f"/>
              </v:line>
            </w:pict>
          </mc:Fallback>
        </mc:AlternateContent>
      </w:r>
      <w:r>
        <w:rPr>
          <w:rFonts w:hint="default" w:ascii="Times New Roman" w:hAnsi="Times New Roman" w:eastAsia="方正仿宋简体" w:cs="Times New Roman"/>
          <w:b w:val="0"/>
          <w:bCs/>
          <w:sz w:val="32"/>
          <w:szCs w:val="32"/>
          <w:lang w:eastAsia="zh-CN"/>
        </w:rPr>
        <w:t>微山县</w:t>
      </w:r>
      <w:r>
        <w:rPr>
          <w:rFonts w:hint="default" w:ascii="Times New Roman" w:hAnsi="Times New Roman" w:eastAsia="方正仿宋简体" w:cs="Times New Roman"/>
          <w:b w:val="0"/>
          <w:bCs/>
          <w:sz w:val="28"/>
          <w:szCs w:val="28"/>
          <w:lang w:bidi="ar"/>
        </w:rPr>
        <w:t xml:space="preserve">人民政府办公室                   </w:t>
      </w:r>
      <w:r>
        <w:rPr>
          <w:rFonts w:hint="eastAsia" w:eastAsia="方正仿宋简体" w:cs="Times New Roman"/>
          <w:b w:val="0"/>
          <w:bCs/>
          <w:sz w:val="28"/>
          <w:szCs w:val="28"/>
          <w:lang w:val="en-US" w:eastAsia="zh-CN" w:bidi="ar"/>
        </w:rPr>
        <w:t xml:space="preserve"> </w:t>
      </w:r>
      <w:r>
        <w:rPr>
          <w:rFonts w:hint="default" w:ascii="Times New Roman" w:hAnsi="Times New Roman" w:eastAsia="方正仿宋简体" w:cs="Times New Roman"/>
          <w:b w:val="0"/>
          <w:bCs/>
          <w:sz w:val="28"/>
          <w:szCs w:val="28"/>
          <w:lang w:bidi="ar"/>
        </w:rPr>
        <w:t>2</w:t>
      </w:r>
      <w:r>
        <w:rPr>
          <w:rFonts w:hint="default" w:ascii="Times New Roman" w:hAnsi="Times New Roman" w:eastAsia="方正仿宋简体" w:cs="Times New Roman"/>
          <w:b w:val="0"/>
          <w:bCs/>
          <w:sz w:val="28"/>
          <w:szCs w:val="28"/>
          <w:lang w:val="en-US" w:eastAsia="zh-CN" w:bidi="ar"/>
        </w:rPr>
        <w:t>02</w:t>
      </w:r>
      <w:r>
        <w:rPr>
          <w:rFonts w:hint="eastAsia" w:ascii="Times New Roman" w:hAnsi="Times New Roman" w:eastAsia="方正仿宋简体" w:cs="Times New Roman"/>
          <w:b w:val="0"/>
          <w:bCs/>
          <w:sz w:val="28"/>
          <w:szCs w:val="28"/>
          <w:lang w:val="en-US" w:eastAsia="zh-CN" w:bidi="ar"/>
        </w:rPr>
        <w:t>2</w:t>
      </w:r>
      <w:r>
        <w:rPr>
          <w:rFonts w:hint="default" w:ascii="Times New Roman" w:hAnsi="Times New Roman" w:eastAsia="方正仿宋简体" w:cs="Times New Roman"/>
          <w:b w:val="0"/>
          <w:bCs/>
          <w:sz w:val="28"/>
          <w:szCs w:val="28"/>
          <w:lang w:bidi="ar"/>
        </w:rPr>
        <w:t>年</w:t>
      </w:r>
      <w:r>
        <w:rPr>
          <w:rFonts w:hint="eastAsia" w:eastAsia="方正仿宋简体" w:cs="Times New Roman"/>
          <w:b w:val="0"/>
          <w:bCs/>
          <w:sz w:val="28"/>
          <w:szCs w:val="28"/>
          <w:lang w:val="en-US" w:eastAsia="zh-CN" w:bidi="ar"/>
        </w:rPr>
        <w:t>2</w:t>
      </w:r>
      <w:r>
        <w:rPr>
          <w:rFonts w:hint="default" w:ascii="Times New Roman" w:hAnsi="Times New Roman" w:eastAsia="方正仿宋简体" w:cs="Times New Roman"/>
          <w:b w:val="0"/>
          <w:bCs/>
          <w:sz w:val="28"/>
          <w:szCs w:val="28"/>
          <w:lang w:bidi="ar"/>
        </w:rPr>
        <w:t>月</w:t>
      </w:r>
      <w:r>
        <w:rPr>
          <w:rFonts w:hint="eastAsia" w:eastAsia="方正仿宋简体" w:cs="Times New Roman"/>
          <w:b w:val="0"/>
          <w:bCs/>
          <w:sz w:val="28"/>
          <w:szCs w:val="28"/>
          <w:lang w:val="en-US" w:eastAsia="zh-CN" w:bidi="ar"/>
        </w:rPr>
        <w:t>8</w:t>
      </w:r>
      <w:r>
        <w:rPr>
          <w:rFonts w:hint="default" w:ascii="Times New Roman" w:hAnsi="Times New Roman" w:eastAsia="方正仿宋简体" w:cs="Times New Roman"/>
          <w:b w:val="0"/>
          <w:bCs/>
          <w:sz w:val="28"/>
          <w:szCs w:val="28"/>
          <w:lang w:bidi="ar"/>
        </w:rPr>
        <w:t>日印发</w:t>
      </w:r>
    </w:p>
    <w:sectPr>
      <w:headerReference r:id="rId6" w:type="default"/>
      <w:footerReference r:id="rId8" w:type="default"/>
      <w:headerReference r:id="rId7" w:type="even"/>
      <w:footerReference r:id="rId9" w:type="even"/>
      <w:footnotePr>
        <w:numFmt w:val="decimalHalfWidth"/>
      </w:footnotePr>
      <w:endnotePr>
        <w:numFmt w:val="chineseCounting"/>
      </w:endnotePr>
      <w:pgSz w:w="11905" w:h="16837"/>
      <w:pgMar w:top="2097" w:right="1474" w:bottom="1984" w:left="1587" w:header="566" w:footer="15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inline distT="0" distB="0" distL="114300" distR="114300">
              <wp:extent cx="5615940" cy="251460"/>
              <wp:effectExtent l="0" t="0" r="0" b="0"/>
              <wp:docPr id="9"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251460"/>
                      </a:xfrm>
                      <a:prstGeom prst="rect">
                        <a:avLst/>
                      </a:prstGeom>
                      <a:noFill/>
                      <a:ln>
                        <a:noFill/>
                      </a:ln>
                    </wps:spPr>
                    <wps:bodyPr wrap="square" upright="1"/>
                  </wps:wsp>
                </a:graphicData>
              </a:graphic>
            </wp:inline>
          </w:drawing>
        </mc:Choice>
        <mc:Fallback>
          <w:pict>
            <v:rect id="图片 4" o:spid="_x0000_s1026" o:spt="1" style="height:19.8pt;width:442.2pt;" filled="f" stroked="f" coordsize="21600,21600" o:gfxdata="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zkbuNcAAAAEAQAADwAAAAAAAAABACAAAAAiAAAAZHJzL2Rvd25yZXYueG1sUEsB&#10;AhQAFAAAAAgAh07iQGpFvnm9AQAAcAMAAA4AAAAAAAAAAQAgAAAAJgEAAGRycy9lMm9Eb2MueG1s&#10;UEsFBgAAAAAGAAYAWQEAAFUFAAAAAA==&#10;">
              <v:fill on="f" focussize="0,0"/>
              <v:stroke on="f"/>
              <v:imagedata o:title=""/>
              <o:lock v:ext="edit" aspectratio="t"/>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margin">
                <wp:align>outside</wp:align>
              </wp:positionH>
              <wp:positionV relativeFrom="paragraph">
                <wp:posOffset>0</wp:posOffset>
              </wp:positionV>
              <wp:extent cx="5615940" cy="25146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615940" cy="251460"/>
                      </a:xfrm>
                      <a:prstGeom prst="rect">
                        <a:avLst/>
                      </a:prstGeom>
                      <a:noFill/>
                      <a:ln w="7200">
                        <a:noFill/>
                      </a:ln>
                    </wps:spPr>
                    <wps:txbx>
                      <w:txbxContent>
                        <w:p>
                          <w:pPr>
                            <w:widowControl w:val="0"/>
                            <w:spacing w:line="439" w:lineRule="atLeast"/>
                            <w:jc w:val="left"/>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vert="horz" wrap="square" lIns="0" tIns="0" rIns="0" bIns="0" anchor="t" anchorCtr="0" upright="1"/>
                  </wps:wsp>
                </a:graphicData>
              </a:graphic>
            </wp:anchor>
          </w:drawing>
        </mc:Choice>
        <mc:Fallback>
          <w:pict>
            <v:shape id="文本框 3" o:spid="_x0000_s1026" o:spt="202" type="#_x0000_t202" style="position:absolute;left:0pt;margin-top:0pt;height:19.8pt;width:442.2pt;mso-position-horizontal:outside;mso-position-horizontal-relative:margin;z-index:251661312;mso-width-relative:page;mso-height-relative:page;" filled="f" stroked="f" coordsize="21600,21600" o:gfxdata="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Q5sqLWAAAABAEA&#10;AA8AAAAAAAAAAQAgAAAAIgAAAGRycy9kb3ducmV2LnhtbFBLAQIUABQAAAAIAIdO4kAHIbIK4wEA&#10;AK4DAAAOAAAAAAAAAAEAIAAAACUBAABkcnMvZTJvRG9jLnhtbFBLBQYAAAAABgAGAFkBAAB6BQAA&#10;AAA=&#10;">
              <v:fill on="f" focussize="0,0"/>
              <v:stroke on="f" weight="0.566929133858268pt"/>
              <v:imagedata o:title=""/>
              <o:lock v:ext="edit" aspectratio="f"/>
              <v:textbox inset="0mm,0mm,0mm,0mm">
                <w:txbxContent>
                  <w:p>
                    <w:pPr>
                      <w:widowControl w:val="0"/>
                      <w:spacing w:line="439" w:lineRule="atLeast"/>
                      <w:jc w:val="left"/>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615940" cy="251460"/>
              <wp:effectExtent l="0" t="0" r="0" b="0"/>
              <wp:docPr id="8"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251460"/>
                      </a:xfrm>
                      <a:prstGeom prst="rect">
                        <a:avLst/>
                      </a:prstGeom>
                      <a:noFill/>
                      <a:ln>
                        <a:noFill/>
                      </a:ln>
                    </wps:spPr>
                    <wps:bodyPr wrap="square" upright="1"/>
                  </wps:wsp>
                </a:graphicData>
              </a:graphic>
            </wp:inline>
          </w:drawing>
        </mc:Choice>
        <mc:Fallback>
          <w:pict>
            <v:rect id="图片 3" o:spid="_x0000_s1026" o:spt="1" style="height:19.8pt;width:442.2pt;" filled="f" stroked="f" coordsize="21600,21600" o:gfxdata="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zkbuNcAAAAEAQAADwAAAAAAAAABACAAAAAiAAAAZHJzL2Rvd25yZXYueG1sUEsB&#10;AhQAFAAAAAgAh07iQAxSTgK9AQAAcAMAAA4AAAAAAAAAAQAgAAAAJgEAAGRycy9lMm9Eb2MueG1s&#10;UEsFBgAAAAAGAAYAWQEAAFUFA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615940" cy="9715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文本框 2" o:spid="_x0000_s1026" o:spt="202" type="#_x0000_t202" style="position:absolute;left:0pt;margin-left:0pt;margin-top:0pt;height:76.5pt;width:442.2pt;z-index:251660288;mso-width-relative:page;mso-height-relative:page;" filled="f" stroked="f" coordsize="21600,21600" o:gfxdata="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OFEfdYAAAAFAQAADwAAAAAAAAABACAAAAAiAAAAZHJz&#10;L2Rvd25yZXYueG1sUEsBAhQAFAAAAAgAh07iQClLksbNAQAAiQMAAA4AAAAAAAAAAQAgAAAAJQEA&#10;AGRycy9lMm9Eb2MueG1sUEsFBgAAAAAGAAYAWQEAAGQ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7"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wrap="square" upright="1"/>
                  </wps:wsp>
                </a:graphicData>
              </a:graphic>
            </wp:inline>
          </w:drawing>
        </mc:Choice>
        <mc:Fallback>
          <w:pict>
            <v:rect id="图片 2" o:spid="_x0000_s1026" o:spt="1" style="height:76.5pt;width:442.2pt;" filled="f" stroked="f" coordsize="21600,21600" o:gfxdata="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rqBMtcAAAAFAQAADwAAAAAAAAABACAAAAAiAAAAZHJzL2Rvd25yZXYueG1sUEsB&#10;AhQAFAAAAAgAh07iQECbJYq9AQAAcAMAAA4AAAAAAAAAAQAgAAAAJgEAAGRycy9lMm9Eb2MueG1s&#10;UEsFBgAAAAAGAAYAWQEAAFU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615940" cy="9715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文本框 1" o:spid="_x0000_s1026" o:spt="202" type="#_x0000_t202" style="position:absolute;left:0pt;margin-left:0pt;margin-top:0pt;height:76.5pt;width:442.2pt;z-index:251659264;mso-width-relative:page;mso-height-relative:page;" filled="f" stroked="f" coordsize="21600,21600" o:gfxdata="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&#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zhRH3WAAAABQEAAA8AAAAAAAAAAQAgAAAAIgAAAGRy&#10;cy9kb3ducmV2LnhtbFBLAQIUABQAAAAIAIdO4kAQlb6OzgEAAIkDAAAOAAAAAAAAAAEAIAAAACUB&#10;AABkcnMvZTJvRG9jLnhtbFBLBQYAAAAABgAGAFkBAABlBQ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6"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wrap="square" upright="1"/>
                  </wps:wsp>
                </a:graphicData>
              </a:graphic>
            </wp:inline>
          </w:drawing>
        </mc:Choice>
        <mc:Fallback>
          <w:pict>
            <v:rect id="图片 1" o:spid="_x0000_s1026" o:spt="1" style="height:76.5pt;width:442.2pt;" filled="f" stroked="f" coordsize="21600,21600" o:gfxdata="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rqBMtcAAAAFAQAADwAAAAAAAAABACAAAAAiAAAAZHJzL2Rvd25yZXYueG1sUEsB&#10;AhQAFAAAAAgAh07iQGLpycy9AQAAcAMAAA4AAAAAAAAAAQAgAAAAJgEAAGRycy9lMm9Eb2MueG1s&#10;UEsFBgAAAAAGAAYAWQEAAFUFA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6716BE"/>
    <w:rsid w:val="0BF59CDA"/>
    <w:rsid w:val="0EFD5774"/>
    <w:rsid w:val="0FEFFCD1"/>
    <w:rsid w:val="153D8B99"/>
    <w:rsid w:val="1DBA3B07"/>
    <w:rsid w:val="1FF4D6E6"/>
    <w:rsid w:val="1FFFCF2A"/>
    <w:rsid w:val="279B59E1"/>
    <w:rsid w:val="27E72952"/>
    <w:rsid w:val="2BCE1B83"/>
    <w:rsid w:val="2BFEF7D6"/>
    <w:rsid w:val="2C7346D0"/>
    <w:rsid w:val="2DFA8E25"/>
    <w:rsid w:val="2DFF42D6"/>
    <w:rsid w:val="2EBF7E9F"/>
    <w:rsid w:val="2FBFDA40"/>
    <w:rsid w:val="2FCFA33B"/>
    <w:rsid w:val="2FDD7EDE"/>
    <w:rsid w:val="2FFF79E7"/>
    <w:rsid w:val="33D00496"/>
    <w:rsid w:val="33FFE651"/>
    <w:rsid w:val="36E902FA"/>
    <w:rsid w:val="36FA9A53"/>
    <w:rsid w:val="37BE827B"/>
    <w:rsid w:val="37FF7986"/>
    <w:rsid w:val="3A9511B7"/>
    <w:rsid w:val="3AFFF8F8"/>
    <w:rsid w:val="3B6A3F04"/>
    <w:rsid w:val="3B7DBAE3"/>
    <w:rsid w:val="3B926B38"/>
    <w:rsid w:val="3B9FFDC4"/>
    <w:rsid w:val="3BDE4002"/>
    <w:rsid w:val="3C7F6F9A"/>
    <w:rsid w:val="3D6E5C13"/>
    <w:rsid w:val="3DFBAEEC"/>
    <w:rsid w:val="3DFD83AC"/>
    <w:rsid w:val="3E1B4635"/>
    <w:rsid w:val="3E6F9B5B"/>
    <w:rsid w:val="3E99F6AA"/>
    <w:rsid w:val="3F369575"/>
    <w:rsid w:val="3F3A13A4"/>
    <w:rsid w:val="3F3ECADC"/>
    <w:rsid w:val="3F7E766D"/>
    <w:rsid w:val="3FDFA822"/>
    <w:rsid w:val="3FED8FC0"/>
    <w:rsid w:val="3FEE878D"/>
    <w:rsid w:val="3FEFADD9"/>
    <w:rsid w:val="3FF37EE9"/>
    <w:rsid w:val="3FFA14B8"/>
    <w:rsid w:val="43FA3501"/>
    <w:rsid w:val="44A7A202"/>
    <w:rsid w:val="45D70E26"/>
    <w:rsid w:val="45FDB6ED"/>
    <w:rsid w:val="49EFD2EA"/>
    <w:rsid w:val="49FFE552"/>
    <w:rsid w:val="4EBEE8B4"/>
    <w:rsid w:val="4F7FB44A"/>
    <w:rsid w:val="53BD0797"/>
    <w:rsid w:val="53DAC006"/>
    <w:rsid w:val="547792EF"/>
    <w:rsid w:val="54BB1627"/>
    <w:rsid w:val="54F9376A"/>
    <w:rsid w:val="553F6A3B"/>
    <w:rsid w:val="566F5245"/>
    <w:rsid w:val="56FF8171"/>
    <w:rsid w:val="577E093D"/>
    <w:rsid w:val="57B7F326"/>
    <w:rsid w:val="57DBD6F3"/>
    <w:rsid w:val="57F67296"/>
    <w:rsid w:val="5BDEF5C9"/>
    <w:rsid w:val="5BEBD4E1"/>
    <w:rsid w:val="5BFD27B0"/>
    <w:rsid w:val="5CD845D3"/>
    <w:rsid w:val="5D749F60"/>
    <w:rsid w:val="5DBABC87"/>
    <w:rsid w:val="5DDB4ECD"/>
    <w:rsid w:val="5DEF1D97"/>
    <w:rsid w:val="5E97319A"/>
    <w:rsid w:val="5EADA11B"/>
    <w:rsid w:val="5F3F4AA4"/>
    <w:rsid w:val="5FDF7FC6"/>
    <w:rsid w:val="5FFC63C7"/>
    <w:rsid w:val="66094A71"/>
    <w:rsid w:val="672E9AF3"/>
    <w:rsid w:val="677F56B6"/>
    <w:rsid w:val="67DE2AE6"/>
    <w:rsid w:val="67FCBC29"/>
    <w:rsid w:val="697F342A"/>
    <w:rsid w:val="69DFACF1"/>
    <w:rsid w:val="69F9354E"/>
    <w:rsid w:val="6AFEC5F7"/>
    <w:rsid w:val="6AFF6569"/>
    <w:rsid w:val="6B4F9FCE"/>
    <w:rsid w:val="6BED3A8D"/>
    <w:rsid w:val="6BFF91DE"/>
    <w:rsid w:val="6CFB2496"/>
    <w:rsid w:val="6DBF4B62"/>
    <w:rsid w:val="6DFCAE3B"/>
    <w:rsid w:val="6DFE515B"/>
    <w:rsid w:val="6DFEF0C4"/>
    <w:rsid w:val="6DFF2C7A"/>
    <w:rsid w:val="6E5D0061"/>
    <w:rsid w:val="6EEF8DF0"/>
    <w:rsid w:val="6EFF17D4"/>
    <w:rsid w:val="6F7E7648"/>
    <w:rsid w:val="6FD6277B"/>
    <w:rsid w:val="6FF867A6"/>
    <w:rsid w:val="71EE01F9"/>
    <w:rsid w:val="731DCC36"/>
    <w:rsid w:val="738D2941"/>
    <w:rsid w:val="73BFC103"/>
    <w:rsid w:val="73EEBDB7"/>
    <w:rsid w:val="73F5D8D9"/>
    <w:rsid w:val="76F65995"/>
    <w:rsid w:val="76FF39E9"/>
    <w:rsid w:val="774F7798"/>
    <w:rsid w:val="777D8157"/>
    <w:rsid w:val="778F6516"/>
    <w:rsid w:val="77AF07A7"/>
    <w:rsid w:val="77BF666D"/>
    <w:rsid w:val="77D19A0E"/>
    <w:rsid w:val="77EB9738"/>
    <w:rsid w:val="77EE1B3A"/>
    <w:rsid w:val="77F339D2"/>
    <w:rsid w:val="77F70FE3"/>
    <w:rsid w:val="77FB0541"/>
    <w:rsid w:val="77FBB29D"/>
    <w:rsid w:val="77FBDD69"/>
    <w:rsid w:val="79EBBB05"/>
    <w:rsid w:val="79FD387D"/>
    <w:rsid w:val="7A6FBA64"/>
    <w:rsid w:val="7A7EDC2F"/>
    <w:rsid w:val="7AAB150D"/>
    <w:rsid w:val="7ADB47FB"/>
    <w:rsid w:val="7B3FF6E1"/>
    <w:rsid w:val="7B57F789"/>
    <w:rsid w:val="7B6F995D"/>
    <w:rsid w:val="7B7F8DE2"/>
    <w:rsid w:val="7BAA5202"/>
    <w:rsid w:val="7BBFC3CE"/>
    <w:rsid w:val="7BDB335E"/>
    <w:rsid w:val="7BFE5045"/>
    <w:rsid w:val="7BFF19DA"/>
    <w:rsid w:val="7BFF9D45"/>
    <w:rsid w:val="7CB92BC3"/>
    <w:rsid w:val="7CF644D8"/>
    <w:rsid w:val="7CFB1A30"/>
    <w:rsid w:val="7D399273"/>
    <w:rsid w:val="7D6F2619"/>
    <w:rsid w:val="7D7FF7CD"/>
    <w:rsid w:val="7DAF4FE7"/>
    <w:rsid w:val="7DBBFDBF"/>
    <w:rsid w:val="7DC8E4B2"/>
    <w:rsid w:val="7DDEC6B6"/>
    <w:rsid w:val="7DF752A5"/>
    <w:rsid w:val="7DF92F6D"/>
    <w:rsid w:val="7E3F8B96"/>
    <w:rsid w:val="7E6BD039"/>
    <w:rsid w:val="7E7F8F27"/>
    <w:rsid w:val="7E7FADDD"/>
    <w:rsid w:val="7EB81B6B"/>
    <w:rsid w:val="7EBD5B84"/>
    <w:rsid w:val="7ECD34F3"/>
    <w:rsid w:val="7EE498D7"/>
    <w:rsid w:val="7EED3C8D"/>
    <w:rsid w:val="7F578D60"/>
    <w:rsid w:val="7F6DE5B7"/>
    <w:rsid w:val="7F7B49C3"/>
    <w:rsid w:val="7F7F107B"/>
    <w:rsid w:val="7F8F9903"/>
    <w:rsid w:val="7F9AA445"/>
    <w:rsid w:val="7FB22EA0"/>
    <w:rsid w:val="7FBE13A7"/>
    <w:rsid w:val="7FC31D88"/>
    <w:rsid w:val="7FCA064F"/>
    <w:rsid w:val="7FD3FA02"/>
    <w:rsid w:val="7FF76168"/>
    <w:rsid w:val="7FF7AA47"/>
    <w:rsid w:val="7FF7BD14"/>
    <w:rsid w:val="7FFB1C25"/>
    <w:rsid w:val="7FFB4634"/>
    <w:rsid w:val="7FFDC0CA"/>
    <w:rsid w:val="7FFE6FE7"/>
    <w:rsid w:val="7FFEA361"/>
    <w:rsid w:val="93FD4ACB"/>
    <w:rsid w:val="97DFF6F7"/>
    <w:rsid w:val="97FD0B91"/>
    <w:rsid w:val="99FBC321"/>
    <w:rsid w:val="9BE9C0B7"/>
    <w:rsid w:val="9F5B3A1F"/>
    <w:rsid w:val="9F7FD739"/>
    <w:rsid w:val="9FEFED82"/>
    <w:rsid w:val="9FFBAF5B"/>
    <w:rsid w:val="A0BF6C86"/>
    <w:rsid w:val="A7E71FAC"/>
    <w:rsid w:val="A8E1070F"/>
    <w:rsid w:val="AAFB4BA3"/>
    <w:rsid w:val="AB7E09F2"/>
    <w:rsid w:val="ABDB4C05"/>
    <w:rsid w:val="ABFBF1D9"/>
    <w:rsid w:val="AF359D04"/>
    <w:rsid w:val="AFFFA8E8"/>
    <w:rsid w:val="B1D5844E"/>
    <w:rsid w:val="B2F3289A"/>
    <w:rsid w:val="B3ECF791"/>
    <w:rsid w:val="B45EF5E1"/>
    <w:rsid w:val="B6723657"/>
    <w:rsid w:val="B6BB8CE5"/>
    <w:rsid w:val="B6EB2BFB"/>
    <w:rsid w:val="B7B8F438"/>
    <w:rsid w:val="B7EE77CA"/>
    <w:rsid w:val="B7FF35AD"/>
    <w:rsid w:val="B9FD4457"/>
    <w:rsid w:val="B9FFEDDF"/>
    <w:rsid w:val="BBEB16EA"/>
    <w:rsid w:val="BBFFDDB8"/>
    <w:rsid w:val="BCFFE011"/>
    <w:rsid w:val="BDD7EB88"/>
    <w:rsid w:val="BDF7CBE9"/>
    <w:rsid w:val="BDFF48C4"/>
    <w:rsid w:val="BEBFE005"/>
    <w:rsid w:val="BF2B4FC5"/>
    <w:rsid w:val="BFBC00C0"/>
    <w:rsid w:val="BFCEE59D"/>
    <w:rsid w:val="BFD36060"/>
    <w:rsid w:val="BFDF88DF"/>
    <w:rsid w:val="BFE52B74"/>
    <w:rsid w:val="BFFB80D6"/>
    <w:rsid w:val="BFFBBCCC"/>
    <w:rsid w:val="BFFD4D7E"/>
    <w:rsid w:val="BFFF8749"/>
    <w:rsid w:val="C3FB78D4"/>
    <w:rsid w:val="C7DA3E70"/>
    <w:rsid w:val="C7F84F28"/>
    <w:rsid w:val="C7FF9977"/>
    <w:rsid w:val="CB75A6CD"/>
    <w:rsid w:val="CBF9B67D"/>
    <w:rsid w:val="CD7B08FE"/>
    <w:rsid w:val="CEFF5133"/>
    <w:rsid w:val="CFDFFF1F"/>
    <w:rsid w:val="CFEF65BD"/>
    <w:rsid w:val="D33BE571"/>
    <w:rsid w:val="D33D0141"/>
    <w:rsid w:val="D537341A"/>
    <w:rsid w:val="D55FB200"/>
    <w:rsid w:val="D7FF447B"/>
    <w:rsid w:val="D9E78C07"/>
    <w:rsid w:val="D9EFED8E"/>
    <w:rsid w:val="DA5BE714"/>
    <w:rsid w:val="DAB734C4"/>
    <w:rsid w:val="DAF31367"/>
    <w:rsid w:val="DB9E6306"/>
    <w:rsid w:val="DBDBD8ED"/>
    <w:rsid w:val="DC3627BA"/>
    <w:rsid w:val="DD7BD169"/>
    <w:rsid w:val="DDFCCB57"/>
    <w:rsid w:val="DE076115"/>
    <w:rsid w:val="DE6BBFAB"/>
    <w:rsid w:val="DED704FF"/>
    <w:rsid w:val="DEFA71D2"/>
    <w:rsid w:val="DEFC575C"/>
    <w:rsid w:val="DF2AEDD5"/>
    <w:rsid w:val="DFB764CE"/>
    <w:rsid w:val="DFBFD8EA"/>
    <w:rsid w:val="DFDA6E52"/>
    <w:rsid w:val="DFE692AC"/>
    <w:rsid w:val="DFFF933F"/>
    <w:rsid w:val="DFFFB162"/>
    <w:rsid w:val="E13FDB2C"/>
    <w:rsid w:val="E2BF02D5"/>
    <w:rsid w:val="E53FBD30"/>
    <w:rsid w:val="E545FF75"/>
    <w:rsid w:val="E635BC2C"/>
    <w:rsid w:val="E76BD858"/>
    <w:rsid w:val="E7BF857E"/>
    <w:rsid w:val="E7F1E665"/>
    <w:rsid w:val="E9EF2FC3"/>
    <w:rsid w:val="EAFFB8AE"/>
    <w:rsid w:val="EC433319"/>
    <w:rsid w:val="ECF9394F"/>
    <w:rsid w:val="ED783594"/>
    <w:rsid w:val="EDBF82FA"/>
    <w:rsid w:val="EDFAD313"/>
    <w:rsid w:val="EDFB8DC0"/>
    <w:rsid w:val="EE7EA830"/>
    <w:rsid w:val="EED37EEA"/>
    <w:rsid w:val="EEDCA261"/>
    <w:rsid w:val="EEFFB0C9"/>
    <w:rsid w:val="EF1EFC78"/>
    <w:rsid w:val="EF4ECE2F"/>
    <w:rsid w:val="EF57B5F8"/>
    <w:rsid w:val="EF6EC05D"/>
    <w:rsid w:val="EFE0104F"/>
    <w:rsid w:val="EFEBFB1A"/>
    <w:rsid w:val="EFF7FA9D"/>
    <w:rsid w:val="EFFEE2DB"/>
    <w:rsid w:val="F2DEE74A"/>
    <w:rsid w:val="F3E53CDF"/>
    <w:rsid w:val="F47D67FA"/>
    <w:rsid w:val="F5DF766E"/>
    <w:rsid w:val="F5FD335A"/>
    <w:rsid w:val="F6061CF9"/>
    <w:rsid w:val="F6DDA0D4"/>
    <w:rsid w:val="F6EA3952"/>
    <w:rsid w:val="F752C6D6"/>
    <w:rsid w:val="F77F4EDA"/>
    <w:rsid w:val="F7D7EDD4"/>
    <w:rsid w:val="F7DB2A5F"/>
    <w:rsid w:val="F7DF52E4"/>
    <w:rsid w:val="F7DF9BF4"/>
    <w:rsid w:val="F7E99468"/>
    <w:rsid w:val="F7EBFCD1"/>
    <w:rsid w:val="F7FBD3D8"/>
    <w:rsid w:val="F7FD1C51"/>
    <w:rsid w:val="F7FEBF02"/>
    <w:rsid w:val="F7FF93BF"/>
    <w:rsid w:val="F9B413CC"/>
    <w:rsid w:val="F9BA197D"/>
    <w:rsid w:val="FA7FC5D7"/>
    <w:rsid w:val="FABE0AD5"/>
    <w:rsid w:val="FAFA8A29"/>
    <w:rsid w:val="FAFFF92A"/>
    <w:rsid w:val="FB667ABF"/>
    <w:rsid w:val="FBE75B26"/>
    <w:rsid w:val="FBF7413F"/>
    <w:rsid w:val="FBFB6049"/>
    <w:rsid w:val="FBFDB88A"/>
    <w:rsid w:val="FBFEDC18"/>
    <w:rsid w:val="FBFFFF77"/>
    <w:rsid w:val="FC77A633"/>
    <w:rsid w:val="FCC7415D"/>
    <w:rsid w:val="FCEF0013"/>
    <w:rsid w:val="FD7B2419"/>
    <w:rsid w:val="FD7B62C0"/>
    <w:rsid w:val="FD7FBBA5"/>
    <w:rsid w:val="FDD1BAA1"/>
    <w:rsid w:val="FDEAA3A7"/>
    <w:rsid w:val="FDF6A698"/>
    <w:rsid w:val="FDFD166F"/>
    <w:rsid w:val="FDFF9A46"/>
    <w:rsid w:val="FE1AA3C2"/>
    <w:rsid w:val="FE1B25BA"/>
    <w:rsid w:val="FE7DA442"/>
    <w:rsid w:val="FE87C75D"/>
    <w:rsid w:val="FE8BF4D2"/>
    <w:rsid w:val="FEAADF42"/>
    <w:rsid w:val="FEB69E56"/>
    <w:rsid w:val="FEB74087"/>
    <w:rsid w:val="FED94292"/>
    <w:rsid w:val="FEE7EFAD"/>
    <w:rsid w:val="FEFBD9E0"/>
    <w:rsid w:val="FEFF3034"/>
    <w:rsid w:val="FF36CA92"/>
    <w:rsid w:val="FF47BC43"/>
    <w:rsid w:val="FF5F38C6"/>
    <w:rsid w:val="FF693031"/>
    <w:rsid w:val="FF6F3EB6"/>
    <w:rsid w:val="FF79041E"/>
    <w:rsid w:val="FF7AFA81"/>
    <w:rsid w:val="FF7BF979"/>
    <w:rsid w:val="FF7FD9B5"/>
    <w:rsid w:val="FFA53EB8"/>
    <w:rsid w:val="FFA5E36D"/>
    <w:rsid w:val="FFAF1CBE"/>
    <w:rsid w:val="FFB9185D"/>
    <w:rsid w:val="FFBAE6B2"/>
    <w:rsid w:val="FFBE4A4D"/>
    <w:rsid w:val="FFBF57D6"/>
    <w:rsid w:val="FFC96BBF"/>
    <w:rsid w:val="FFCB2FD9"/>
    <w:rsid w:val="FFCBE64C"/>
    <w:rsid w:val="FFCD6FCF"/>
    <w:rsid w:val="FFD1ABA0"/>
    <w:rsid w:val="FFD39A05"/>
    <w:rsid w:val="FFD735E0"/>
    <w:rsid w:val="FFDCE676"/>
    <w:rsid w:val="FFDD3B1D"/>
    <w:rsid w:val="FFDD49F0"/>
    <w:rsid w:val="FFDE35BF"/>
    <w:rsid w:val="FFEB3551"/>
    <w:rsid w:val="FFEF4DF1"/>
    <w:rsid w:val="FFF3CFE1"/>
    <w:rsid w:val="FFF7F625"/>
    <w:rsid w:val="FFF9D38E"/>
    <w:rsid w:val="FFFA5178"/>
    <w:rsid w:val="FFFA7668"/>
    <w:rsid w:val="FFFF41D3"/>
    <w:rsid w:val="FFFFA535"/>
    <w:rsid w:val="FFFFA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paragraph" w:styleId="7">
    <w:name w:val="heading 1"/>
    <w:basedOn w:val="1"/>
    <w:next w:val="8"/>
    <w:qFormat/>
    <w:uiPriority w:val="0"/>
    <w:pPr>
      <w:spacing w:before="104" w:beforeLines="0" w:after="104" w:afterLines="0" w:line="0" w:lineRule="atLeast"/>
      <w:ind w:firstLine="0" w:firstLineChars="0"/>
      <w:jc w:val="center"/>
    </w:pPr>
    <w:rPr>
      <w:rFonts w:ascii="Arial" w:hAnsi="Arial" w:eastAsia="黑体"/>
      <w:sz w:val="32"/>
    </w:rPr>
  </w:style>
  <w:style w:type="paragraph" w:styleId="8">
    <w:name w:val="heading 2"/>
    <w:basedOn w:val="1"/>
    <w:next w:val="9"/>
    <w:qFormat/>
    <w:uiPriority w:val="0"/>
    <w:pPr>
      <w:spacing w:line="0" w:lineRule="atLeast"/>
      <w:ind w:firstLine="0" w:firstLineChars="0"/>
      <w:jc w:val="center"/>
    </w:pPr>
    <w:rPr>
      <w:rFonts w:ascii="Times New Roman" w:hAnsi="Times New Roman"/>
      <w:sz w:val="28"/>
    </w:rPr>
  </w:style>
  <w:style w:type="paragraph" w:styleId="9">
    <w:name w:val="heading 3"/>
    <w:basedOn w:val="1"/>
    <w:next w:val="1"/>
    <w:qFormat/>
    <w:uiPriority w:val="0"/>
    <w:pPr>
      <w:spacing w:before="104" w:beforeLines="0" w:after="104" w:afterLines="0"/>
      <w:ind w:firstLine="0" w:firstLineChars="0"/>
    </w:pPr>
    <w:rPr>
      <w:rFonts w:eastAsia="黑体"/>
    </w:rPr>
  </w:style>
  <w:style w:type="character" w:default="1" w:styleId="21">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Times New Roman" w:hAnsi="Times New Roman" w:eastAsia="宋体" w:cs="Times New Roman"/>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spacing w:line="360" w:lineRule="auto"/>
      <w:ind w:firstLine="420" w:firstLineChars="200"/>
    </w:pPr>
    <w:rPr>
      <w:rFonts w:ascii="Calibri" w:hAnsi="Calibri" w:eastAsia="宋体" w:cs="Times New Roman"/>
      <w:sz w:val="24"/>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pPr>
      <w:spacing w:after="120"/>
    </w:pPr>
  </w:style>
  <w:style w:type="paragraph" w:styleId="10">
    <w:name w:val="toc 3"/>
    <w:basedOn w:val="1"/>
    <w:next w:val="1"/>
    <w:qFormat/>
    <w:uiPriority w:val="0"/>
    <w:pPr>
      <w:spacing w:line="306" w:lineRule="auto"/>
    </w:pPr>
  </w:style>
  <w:style w:type="paragraph" w:styleId="11">
    <w:name w:val="Body Text Indent 2"/>
    <w:basedOn w:val="1"/>
    <w:qFormat/>
    <w:uiPriority w:val="0"/>
    <w:pPr>
      <w:spacing w:line="360" w:lineRule="auto"/>
      <w:ind w:firstLine="540"/>
    </w:pPr>
    <w:rPr>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after="104" w:afterLines="0" w:line="0" w:lineRule="atLeast"/>
      <w:ind w:firstLine="0" w:firstLineChars="0"/>
      <w:jc w:val="left"/>
    </w:pPr>
    <w:rPr>
      <w:rFonts w:ascii="Arial" w:hAnsi="Arial" w:eastAsia="黑体"/>
      <w:sz w:val="28"/>
    </w:rPr>
  </w:style>
  <w:style w:type="paragraph" w:styleId="15">
    <w:name w:val="toc 4"/>
    <w:basedOn w:val="1"/>
    <w:next w:val="1"/>
    <w:qFormat/>
    <w:uiPriority w:val="0"/>
    <w:pPr>
      <w:spacing w:line="306" w:lineRule="auto"/>
      <w:ind w:firstLine="629" w:firstLineChars="0"/>
    </w:pPr>
  </w:style>
  <w:style w:type="paragraph" w:styleId="16">
    <w:name w:val="toc 2"/>
    <w:basedOn w:val="1"/>
    <w:next w:val="1"/>
    <w:qFormat/>
    <w:uiPriority w:val="0"/>
    <w:pPr>
      <w:spacing w:line="306" w:lineRule="auto"/>
      <w:ind w:firstLine="209" w:firstLineChars="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9"/>
    <w:qFormat/>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9">
    <w:name w:val="文章附标题"/>
    <w:basedOn w:val="1"/>
    <w:next w:val="7"/>
    <w:qFormat/>
    <w:uiPriority w:val="0"/>
    <w:pPr>
      <w:spacing w:before="104" w:beforeLines="0" w:after="104" w:afterLines="0" w:line="0" w:lineRule="atLeast"/>
      <w:ind w:firstLine="0" w:firstLineChars="0"/>
      <w:jc w:val="center"/>
    </w:pPr>
    <w:rPr>
      <w:sz w:val="36"/>
    </w:rPr>
  </w:style>
  <w:style w:type="paragraph" w:customStyle="1" w:styleId="22">
    <w:name w:val="目录标题"/>
    <w:basedOn w:val="1"/>
    <w:next w:val="1"/>
    <w:qFormat/>
    <w:uiPriority w:val="0"/>
    <w:pPr>
      <w:spacing w:before="209" w:beforeLines="0" w:after="209" w:afterLines="0" w:line="0" w:lineRule="atLeast"/>
      <w:jc w:val="center"/>
    </w:pPr>
    <w:rPr>
      <w:rFonts w:ascii="Arial" w:hAnsi="Arial" w:eastAsia="黑体"/>
      <w:spacing w:val="209"/>
      <w:sz w:val="52"/>
    </w:rPr>
  </w:style>
  <w:style w:type="paragraph" w:customStyle="1" w:styleId="23">
    <w:name w:val="WPS Plain"/>
    <w:qFormat/>
    <w:uiPriority w:val="0"/>
    <w:rPr>
      <w:rFonts w:ascii="Times New Roman" w:hAnsi="Times New Roman" w:eastAsia="宋体" w:cs="Times New Roman"/>
    </w:rPr>
  </w:style>
  <w:style w:type="character" w:customStyle="1" w:styleId="24">
    <w:name w:val="超级链接"/>
    <w:basedOn w:val="21"/>
    <w:qFormat/>
    <w:uiPriority w:val="0"/>
    <w:rPr>
      <w:color w:val="0000FF"/>
      <w:u w:val="single" w:color="0000FF"/>
    </w:rPr>
  </w:style>
  <w:style w:type="paragraph" w:customStyle="1" w:styleId="25">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2378</Words>
  <Characters>2452</Characters>
  <TotalTime>17</TotalTime>
  <ScaleCrop>false</ScaleCrop>
  <LinksUpToDate>false</LinksUpToDate>
  <CharactersWithSpaces>5543</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2021-10-28T03:57:00Z</dcterms:created>
  <dc:creator>user</dc:creator>
  <cp:lastModifiedBy>Dreamer</cp:lastModifiedBy>
  <cp:lastPrinted>2022-01-30T23:39:00Z</cp:lastPrinted>
  <dcterms:modified xsi:type="dcterms:W3CDTF">2022-05-05T02:34:59Z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F41BF80427834EFCB021955DB06BD075</vt:lpwstr>
  </property>
</Properties>
</file>