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9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微山县南阳古镇旅游管理服务中心</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年政府信息公开工作年度报告</w:t>
      </w:r>
    </w:p>
    <w:p>
      <w:pPr>
        <w:spacing w:line="590" w:lineRule="exact"/>
        <w:ind w:right="-105" w:rightChars="-50" w:firstLine="640"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本报告由</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微山县南阳古镇旅游管理服务中心</w:t>
      </w:r>
      <w:r>
        <w:rPr>
          <w:rFonts w:hint="default" w:ascii="Times New Roman" w:hAnsi="Times New Roman" w:eastAsia="文星仿宋"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本报告所列数据的统计期限自202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文星仿宋" w:cs="Times New Roman"/>
          <w:b w:val="0"/>
          <w:bCs/>
          <w:color w:val="000000" w:themeColor="text1"/>
          <w:sz w:val="32"/>
          <w:szCs w:val="32"/>
          <w14:textFill>
            <w14:solidFill>
              <w14:schemeClr w14:val="tx1"/>
            </w14:solidFill>
          </w14:textFill>
        </w:rPr>
        <w:t>年1月1日起至202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文星仿宋" w:cs="Times New Roman"/>
          <w:b w:val="0"/>
          <w:bCs/>
          <w:color w:val="000000" w:themeColor="text1"/>
          <w:sz w:val="32"/>
          <w:szCs w:val="32"/>
          <w14:textFill>
            <w14:solidFill>
              <w14:schemeClr w14:val="tx1"/>
            </w14:solidFill>
          </w14:textFill>
        </w:rPr>
        <w:t>年12月31日止。本报告电子版可在“中国·</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微山</w:t>
      </w:r>
      <w:r>
        <w:rPr>
          <w:rFonts w:hint="default" w:ascii="Times New Roman" w:hAnsi="Times New Roman" w:eastAsia="文星仿宋" w:cs="Times New Roman"/>
          <w:b w:val="0"/>
          <w:bCs/>
          <w:color w:val="000000" w:themeColor="text1"/>
          <w:sz w:val="32"/>
          <w:szCs w:val="32"/>
          <w14:textFill>
            <w14:solidFill>
              <w14:schemeClr w14:val="tx1"/>
            </w14:solidFill>
          </w14:textFill>
        </w:rPr>
        <w:t>”政府门户网</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站</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文星仿宋" w:cs="Times New Roman"/>
          <w:b w:val="0"/>
          <w:bCs/>
          <w:color w:val="auto"/>
          <w:sz w:val="32"/>
          <w:szCs w:val="32"/>
          <w:lang w:val="en-US" w:eastAsia="zh-CN"/>
        </w:rPr>
        <w:t>http://www.weishan.gov.cn/col/col35772/index.html?vc_xxgkarea=1237082666670790X0&amp;numbe）</w:t>
      </w:r>
      <w:r>
        <w:rPr>
          <w:rFonts w:hint="default" w:ascii="Times New Roman" w:hAnsi="Times New Roman" w:eastAsia="文星仿宋" w:cs="Times New Roman"/>
          <w:b w:val="0"/>
          <w:bCs/>
          <w:color w:val="000000" w:themeColor="text1"/>
          <w:sz w:val="32"/>
          <w:szCs w:val="32"/>
          <w14:textFill>
            <w14:solidFill>
              <w14:schemeClr w14:val="tx1"/>
            </w14:solidFill>
          </w14:textFill>
        </w:rPr>
        <w:t>查阅或下载。如对本报告有疑问，请与</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微山县南阳古镇旅游管理服务中心</w:t>
      </w:r>
      <w:r>
        <w:rPr>
          <w:rFonts w:hint="default" w:ascii="Times New Roman" w:hAnsi="Times New Roman" w:eastAsia="文星仿宋" w:cs="Times New Roman"/>
          <w:b w:val="0"/>
          <w:bCs/>
          <w:color w:val="000000" w:themeColor="text1"/>
          <w:sz w:val="32"/>
          <w:szCs w:val="32"/>
          <w14:textFill>
            <w14:solidFill>
              <w14:schemeClr w14:val="tx1"/>
            </w14:solidFill>
          </w14:textFill>
        </w:rPr>
        <w:t>联系（地址：</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微山县南阳镇政府院内</w:t>
      </w:r>
      <w:r>
        <w:rPr>
          <w:rFonts w:hint="default" w:ascii="Times New Roman" w:hAnsi="Times New Roman" w:eastAsia="文星仿宋" w:cs="Times New Roman"/>
          <w:b w:val="0"/>
          <w:bCs/>
          <w:color w:val="000000" w:themeColor="text1"/>
          <w:sz w:val="32"/>
          <w:szCs w:val="32"/>
          <w14:textFill>
            <w14:solidFill>
              <w14:schemeClr w14:val="tx1"/>
            </w14:solidFill>
          </w14:textFill>
        </w:rPr>
        <w:t>，联系电话：0537-</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8122866</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年，南阳古镇旅游管理服务中心坚持以习近平新时代中国特色社会主义思想为指导，全面贯彻党的二十大精神，</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落实</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《政府信息公开条例》要求，紧紧围绕全县文旅工作安排，坚持以公开为常态、不公开为例外，大力推进文旅领域政府信息公开工作，切实保障人民群众文化旅游相关工作的知情权、参与权、监督权。</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按照政府信息主动公开要求，本单位依法、及时发布政府信息。</w:t>
      </w:r>
      <w:r>
        <w:rPr>
          <w:rFonts w:hint="default" w:ascii="Times New Roman" w:hAnsi="Times New Roman" w:eastAsia="文星仿宋" w:cs="Times New Roman"/>
          <w:b w:val="0"/>
          <w:bCs/>
          <w:color w:val="000000" w:themeColor="text1"/>
          <w:sz w:val="32"/>
          <w:szCs w:val="32"/>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文星仿宋" w:cs="Times New Roman"/>
          <w:b w:val="0"/>
          <w:bCs/>
          <w:color w:val="000000" w:themeColor="text1"/>
          <w:sz w:val="32"/>
          <w:szCs w:val="32"/>
          <w14:textFill>
            <w14:solidFill>
              <w14:schemeClr w14:val="tx1"/>
            </w14:solidFill>
          </w14:textFill>
        </w:rPr>
        <w:t>年共主动公开政府信息</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22</w:t>
      </w:r>
      <w:r>
        <w:rPr>
          <w:rFonts w:hint="default" w:ascii="Times New Roman" w:hAnsi="Times New Roman" w:eastAsia="文星仿宋" w:cs="Times New Roman"/>
          <w:b w:val="0"/>
          <w:bCs/>
          <w:color w:val="000000" w:themeColor="text1"/>
          <w:sz w:val="32"/>
          <w:szCs w:val="32"/>
          <w14:textFill>
            <w14:solidFill>
              <w14:schemeClr w14:val="tx1"/>
            </w14:solidFill>
          </w14:textFill>
        </w:rPr>
        <w:t>条，其中组织召开专题会议3次、部门会议</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文星仿宋" w:cs="Times New Roman"/>
          <w:b w:val="0"/>
          <w:bCs/>
          <w:color w:val="000000" w:themeColor="text1"/>
          <w:sz w:val="32"/>
          <w:szCs w:val="32"/>
          <w14:textFill>
            <w14:solidFill>
              <w14:schemeClr w14:val="tx1"/>
            </w14:solidFill>
          </w14:textFill>
        </w:rPr>
        <w:t>次，政务公开培训部署会议3次，其他主动公开政府信息</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11</w:t>
      </w:r>
      <w:r>
        <w:rPr>
          <w:rFonts w:hint="default" w:ascii="Times New Roman" w:hAnsi="Times New Roman" w:eastAsia="文星仿宋" w:cs="Times New Roman"/>
          <w:b w:val="0"/>
          <w:bCs/>
          <w:color w:val="000000" w:themeColor="text1"/>
          <w:sz w:val="32"/>
          <w:szCs w:val="32"/>
          <w14:textFill>
            <w14:solidFill>
              <w14:schemeClr w14:val="tx1"/>
            </w14:solidFill>
          </w14:textFill>
        </w:rPr>
        <w:t>条。共收到并办理人大代表建议</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1件，</w:t>
      </w:r>
      <w:r>
        <w:rPr>
          <w:rFonts w:hint="default" w:ascii="Times New Roman" w:hAnsi="Times New Roman" w:eastAsia="文星仿宋" w:cs="Times New Roman"/>
          <w:b w:val="0"/>
          <w:bCs/>
          <w:color w:val="000000" w:themeColor="text1"/>
          <w:sz w:val="32"/>
          <w:szCs w:val="32"/>
          <w14:textFill>
            <w14:solidFill>
              <w14:schemeClr w14:val="tx1"/>
            </w14:solidFill>
          </w14:textFill>
        </w:rPr>
        <w:t>政协提案</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文星仿宋" w:cs="Times New Roman"/>
          <w:b w:val="0"/>
          <w:bCs/>
          <w:color w:val="000000" w:themeColor="text1"/>
          <w:sz w:val="32"/>
          <w:szCs w:val="32"/>
          <w14:textFill>
            <w14:solidFill>
              <w14:schemeClr w14:val="tx1"/>
            </w14:solidFill>
          </w14:textFill>
        </w:rPr>
        <w:t>件，收到政府信息公开申请0件，无因政府信息公开申请行政复议、提起行政诉讼的情况。</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向上级政务部门主动报送政务公开信息</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48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147955</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文星楷体" w:cs="Times New Roman"/>
          <w:b w:val="0"/>
          <w:bCs/>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202</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年，</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本单位未收到</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依申请公开政府信息。</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进一步完善政府信息常态化管理机制，及时更新完善2023年主动公开目录，安排专人负责信息公开维护和更新；加强政府信息公开属性源头认定，每月由信息联络员定时提醒督促有关科室依法依规信息公开；对政务公开信息内容严格把关，建立政府信息公开发布审核机制，落实“三审三校”制度，对拟公开的信息均进行逐级审核，把好政治关、政策关、文字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2023年，</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default" w:ascii="Times New Roman" w:hAnsi="Times New Roman" w:eastAsia="文星仿宋" w:cs="Times New Roman"/>
          <w:b w:val="0"/>
          <w:bCs/>
          <w:color w:val="000000" w:themeColor="text1"/>
          <w:sz w:val="32"/>
          <w:szCs w:val="32"/>
          <w14:textFill>
            <w14:solidFill>
              <w14:schemeClr w14:val="tx1"/>
            </w14:solidFill>
          </w14:textFill>
        </w:rPr>
        <w:t>严格按照</w:t>
      </w:r>
      <w:r>
        <w:rPr>
          <w:rFonts w:hint="default" w:ascii="Times New Roman" w:hAnsi="Times New Roman" w:eastAsia="文星仿宋" w:cs="Times New Roman"/>
          <w:b w:val="0"/>
          <w:bCs/>
          <w:color w:val="000000" w:themeColor="text1"/>
          <w:sz w:val="32"/>
          <w:szCs w:val="32"/>
          <w14:textFill>
            <w14:solidFill>
              <w14:schemeClr w14:val="tx1"/>
            </w14:solidFill>
          </w14:textFill>
        </w:rPr>
        <w:t>政务公开新标准、新</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要求，</w:t>
      </w:r>
      <w:r>
        <w:rPr>
          <w:rFonts w:hint="default" w:ascii="Times New Roman" w:hAnsi="Times New Roman" w:eastAsia="文星仿宋" w:cs="Times New Roman"/>
          <w:b w:val="0"/>
          <w:bCs/>
          <w:color w:val="000000" w:themeColor="text1"/>
          <w:sz w:val="32"/>
          <w:szCs w:val="32"/>
          <w14:textFill>
            <w14:solidFill>
              <w14:schemeClr w14:val="tx1"/>
            </w14:solidFill>
          </w14:textFill>
        </w:rPr>
        <w:t>及时更新本</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单位政府网信息</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明确公开时间，细化工作任务，</w:t>
      </w:r>
      <w:r>
        <w:rPr>
          <w:rFonts w:hint="default" w:ascii="Times New Roman" w:hAnsi="Times New Roman" w:eastAsia="文星仿宋" w:cs="Times New Roman"/>
          <w:b w:val="0"/>
          <w:bCs/>
          <w:color w:val="000000" w:themeColor="text1"/>
          <w:sz w:val="32"/>
          <w:szCs w:val="32"/>
          <w14:textFill>
            <w14:solidFill>
              <w14:schemeClr w14:val="tx1"/>
            </w14:solidFill>
          </w14:textFill>
        </w:rPr>
        <w:t>及时上传</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领导信息、活动开展、会议召开等</w:t>
      </w:r>
      <w:r>
        <w:rPr>
          <w:rFonts w:hint="default" w:ascii="Times New Roman" w:hAnsi="Times New Roman" w:eastAsia="文星仿宋" w:cs="Times New Roman"/>
          <w:b w:val="0"/>
          <w:bCs/>
          <w:color w:val="000000" w:themeColor="text1"/>
          <w:sz w:val="32"/>
          <w:szCs w:val="32"/>
          <w14:textFill>
            <w14:solidFill>
              <w14:schemeClr w14:val="tx1"/>
            </w14:solidFill>
          </w14:textFill>
        </w:rPr>
        <w:t>相关内容，</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确保政务公开工作科学化、标准化、规范化。</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楷体" w:cs="Times New Roman"/>
          <w:b w:val="0"/>
          <w:bCs/>
          <w:color w:val="000000" w:themeColor="text1"/>
          <w:sz w:val="32"/>
          <w:szCs w:val="32"/>
          <w14:textFill>
            <w14:solidFill>
              <w14:schemeClr w14:val="tx1"/>
            </w14:solidFill>
          </w14:textFill>
        </w:rPr>
      </w:pPr>
      <w:r>
        <w:rPr>
          <w:rFonts w:hint="default" w:ascii="Times New Roman" w:hAnsi="Times New Roman" w:eastAsia="文星楷体" w:cs="Times New Roman"/>
          <w:b w:val="0"/>
          <w:bCs/>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强化责任落实。明确责任领导和责任科室，形成主要领导亲自抓、分管领导牵头抓、责任科室具体抓、相关科室配合抓的工作机制，做到年初有计划、年底有汇报。强化培训指导。2023年，我单位组织召开政务公开工作培训会1次，认真学习了《中华人民共和国政府信息公开条例》《山东省政务公开工作要点》和省市县关于加强政务公开工作的有关规定，整体提升了政务公开工作人员的</w:t>
      </w:r>
      <w:bookmarkStart w:id="0" w:name="_GoBack"/>
      <w:bookmarkEnd w:id="0"/>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业务能力和素质水平。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14:textFill>
            <w14:solidFill>
              <w14:schemeClr w14:val="tx1"/>
            </w14:solidFill>
          </w14:textFill>
        </w:rPr>
        <w:t>二、主动公开政府信息情况</w:t>
      </w:r>
    </w:p>
    <w:tbl>
      <w:tblPr>
        <w:tblStyle w:val="2"/>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规章</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行政许可</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行政处罚</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行政强制</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楷体" w:cs="Times New Roman"/>
                <w:b w:val="0"/>
                <w:bCs/>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文星仿宋" w:cs="Times New Roman"/>
                <w:b w:val="0"/>
                <w:bCs/>
                <w:color w:val="000000"/>
                <w:sz w:val="28"/>
                <w:szCs w:val="28"/>
              </w:rPr>
            </w:pPr>
            <w:r>
              <w:rPr>
                <w:rFonts w:hint="default" w:ascii="Times New Roman" w:hAnsi="Times New Roman" w:eastAsia="文星仿宋" w:cs="Times New Roman"/>
                <w:b w:val="0"/>
                <w:bCs/>
                <w:color w:val="000000"/>
                <w:sz w:val="28"/>
                <w:szCs w:val="28"/>
              </w:rPr>
              <w:t>行政事业性收费</w:t>
            </w:r>
          </w:p>
        </w:tc>
        <w:tc>
          <w:tcPr>
            <w:tcW w:w="6618" w:type="dxa"/>
            <w:gridSpan w:val="3"/>
            <w:shd w:val="clear" w:color="auto" w:fill="FFFFFF" w:themeFill="background1"/>
            <w:vAlign w:val="center"/>
          </w:tcPr>
          <w:p>
            <w:pPr>
              <w:widowControl/>
              <w:spacing w:line="340" w:lineRule="exact"/>
              <w:jc w:val="left"/>
              <w:rPr>
                <w:rFonts w:hint="eastAsia" w:ascii="Times New Roman" w:hAnsi="Times New Roman" w:eastAsia="文星仿宋" w:cs="Times New Roman"/>
                <w:b w:val="0"/>
                <w:bCs/>
                <w:color w:val="000000"/>
                <w:sz w:val="28"/>
                <w:szCs w:val="28"/>
                <w:lang w:val="en-US" w:eastAsia="zh-CN"/>
              </w:rPr>
            </w:pPr>
            <w:r>
              <w:rPr>
                <w:rFonts w:hint="default" w:ascii="Times New Roman" w:hAnsi="Times New Roman" w:eastAsia="文星仿宋" w:cs="Times New Roman"/>
                <w:b w:val="0"/>
                <w:bCs/>
                <w:color w:val="000000"/>
                <w:sz w:val="28"/>
                <w:szCs w:val="28"/>
              </w:rPr>
              <w:t>　</w:t>
            </w:r>
            <w:r>
              <w:rPr>
                <w:rFonts w:hint="eastAsia" w:ascii="Times New Roman" w:hAnsi="Times New Roman" w:eastAsia="文星仿宋" w:cs="Times New Roman"/>
                <w:b w:val="0"/>
                <w:bCs/>
                <w:color w:val="000000"/>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color w:val="000000" w:themeColor="text1"/>
          <w:sz w:val="32"/>
          <w:szCs w:val="32"/>
          <w14:textFill>
            <w14:solidFill>
              <w14:schemeClr w14:val="tx1"/>
            </w14:solidFill>
          </w14:textFill>
        </w:rPr>
      </w:pPr>
      <w:r>
        <w:rPr>
          <w:rFonts w:hint="default" w:ascii="Times New Roman" w:hAnsi="Times New Roman" w:eastAsia="文星黑体" w:cs="Times New Roman"/>
          <w:b w:val="0"/>
          <w:bCs/>
          <w:color w:val="000000" w:themeColor="text1"/>
          <w:sz w:val="32"/>
          <w:szCs w:val="32"/>
          <w:lang w:eastAsia="zh-CN"/>
          <w14:textFill>
            <w14:solidFill>
              <w14:schemeClr w14:val="tx1"/>
            </w14:solidFill>
          </w14:textFill>
        </w:rPr>
        <w:t>三、</w:t>
      </w:r>
      <w:r>
        <w:rPr>
          <w:rFonts w:hint="default" w:ascii="Times New Roman" w:hAnsi="Times New Roman" w:eastAsia="文星黑体" w:cs="Times New Roman"/>
          <w:b w:val="0"/>
          <w:bCs/>
          <w:color w:val="000000" w:themeColor="text1"/>
          <w:sz w:val="32"/>
          <w:szCs w:val="32"/>
          <w14:textFill>
            <w14:solidFill>
              <w14:schemeClr w14:val="tx1"/>
            </w14:solidFill>
          </w14:textFill>
        </w:rPr>
        <w:t>收到和处理政府信息公开申请情况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683"/>
        <w:gridCol w:w="727"/>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00"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等于第三项加第四项之和）</w:t>
            </w:r>
          </w:p>
        </w:tc>
        <w:tc>
          <w:tcPr>
            <w:tcW w:w="4027"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800"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727"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800"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727"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文星仿宋"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一、本年新收政府信息公开申请数量</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二、上年结转政府信息公开申请数量</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三、本年度办理结果</w:t>
            </w: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（一）予以公开</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（二）部分公开（区分处理的，只计这一情形，不计其他情形）</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（三）不予公开</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1.属于国家秘密</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2.其他法律行政法规禁止公开</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3.危及“三安全一稳定”</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4.保护第三方合法权益</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5.属于三类内部事务信息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6.属于四类过程性信息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7.属于行政执法案卷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8.属于行政查询事项</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（四）无法提供</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w:t>
            </w:r>
            <w:r>
              <w:rPr>
                <w:rFonts w:hint="eastAsia" w:ascii="Times New Roman" w:hAnsi="Times New Roman" w:eastAsia="文星仿宋" w:cs="Times New Roman"/>
                <w:b w:val="0"/>
                <w:bCs/>
                <w:sz w:val="28"/>
                <w:szCs w:val="28"/>
                <w:lang w:eastAsia="zh-CN"/>
              </w:rPr>
              <w:t>本单位</w:t>
            </w:r>
            <w:r>
              <w:rPr>
                <w:rFonts w:hint="default" w:ascii="Times New Roman" w:hAnsi="Times New Roman" w:eastAsia="文星仿宋" w:cs="Times New Roman"/>
                <w:b w:val="0"/>
                <w:bCs/>
                <w:sz w:val="28"/>
                <w:szCs w:val="28"/>
              </w:rPr>
              <w:t>不掌握相关政府信息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2.没有现成信息需要另行制作</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w:t>
            </w:r>
            <w:r>
              <w:rPr>
                <w:rFonts w:hint="default" w:ascii="Times New Roman" w:hAnsi="Times New Roman" w:eastAsia="文星仿宋" w:cs="Times New Roman"/>
                <w:b w:val="0"/>
                <w:bCs/>
                <w:spacing w:val="-8"/>
                <w:sz w:val="28"/>
                <w:szCs w:val="28"/>
              </w:rPr>
              <w:t>补正后申请内容仍不明确</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（五）不予处理</w:t>
            </w: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1.信访举报投诉类申请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2.重复申请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3.要求提供公开出版物</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4.</w:t>
            </w:r>
            <w:r>
              <w:rPr>
                <w:rFonts w:hint="default" w:ascii="Times New Roman" w:hAnsi="Times New Roman" w:eastAsia="文星仿宋" w:cs="Times New Roman"/>
                <w:b w:val="0"/>
                <w:bCs/>
                <w:spacing w:val="-8"/>
                <w:sz w:val="28"/>
                <w:szCs w:val="28"/>
              </w:rPr>
              <w:t>无正当理由大量反复申请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both"/>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268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5.要求行政机关确认或重新出具已获取信息</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（六）其他处理</w:t>
            </w:r>
          </w:p>
        </w:tc>
        <w:tc>
          <w:tcPr>
            <w:tcW w:w="2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1</w:t>
            </w:r>
            <w:r>
              <w:rPr>
                <w:rFonts w:hint="default" w:ascii="Times New Roman" w:hAnsi="Times New Roman" w:eastAsia="文星仿宋" w:cs="Times New Roman"/>
                <w:b w:val="0"/>
                <w:bCs/>
                <w:color w:val="000000"/>
                <w:sz w:val="28"/>
                <w:szCs w:val="28"/>
              </w:rPr>
              <w:t>.申请人无正当理由逾期不补正、行政机关不再处理其政府信息公开申请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2</w:t>
            </w:r>
            <w:r>
              <w:rPr>
                <w:rFonts w:hint="default" w:ascii="Times New Roman" w:hAnsi="Times New Roman" w:eastAsia="文星仿宋" w:cs="Times New Roman"/>
                <w:b w:val="0"/>
                <w:bCs/>
                <w:color w:val="000000"/>
                <w:sz w:val="28"/>
                <w:szCs w:val="28"/>
              </w:rPr>
              <w:t>.申请人逾期未按收费通知要求缴纳费用、行政机关不再处理其政府信息公开申请</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文星仿宋"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文星仿宋" w:cs="Times New Roman"/>
                <w:b w:val="0"/>
                <w:bCs/>
                <w:sz w:val="28"/>
                <w:szCs w:val="28"/>
              </w:rPr>
            </w:pPr>
          </w:p>
        </w:tc>
        <w:tc>
          <w:tcPr>
            <w:tcW w:w="2683" w:type="dxa"/>
            <w:shd w:val="clear" w:color="auto" w:fill="auto"/>
            <w:vAlign w:val="center"/>
          </w:tcPr>
          <w:p>
            <w:pPr>
              <w:widowControl/>
              <w:spacing w:line="260" w:lineRule="exact"/>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3.其他</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p>
        </w:tc>
        <w:tc>
          <w:tcPr>
            <w:tcW w:w="3845"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（七）总计</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800"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四、结转下年度继续办理</w:t>
            </w:r>
          </w:p>
        </w:tc>
        <w:tc>
          <w:tcPr>
            <w:tcW w:w="72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Times New Roman" w:hAnsi="Times New Roman" w:eastAsia="文星仿宋" w:cs="Times New Roman"/>
                <w:b w:val="0"/>
                <w:bCs/>
                <w:sz w:val="28"/>
                <w:szCs w:val="28"/>
                <w:lang w:val="en-US" w:eastAsia="zh-CN"/>
              </w:rPr>
            </w:pPr>
            <w:r>
              <w:rPr>
                <w:rFonts w:hint="eastAsia" w:ascii="Times New Roman" w:hAnsi="Times New Roman" w:eastAsia="文星仿宋" w:cs="Times New Roman"/>
                <w:b w:val="0"/>
                <w:bCs/>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lang w:eastAsia="zh-CN"/>
        </w:rPr>
        <w:t>四、</w:t>
      </w:r>
      <w:r>
        <w:rPr>
          <w:rFonts w:hint="default" w:ascii="Times New Roman" w:hAnsi="Times New Roman" w:eastAsia="文星黑体" w:cs="Times New Roman"/>
          <w:b w:val="0"/>
          <w:bCs/>
          <w:sz w:val="32"/>
          <w:szCs w:val="32"/>
        </w:rPr>
        <w:t>因政府信息公开工作被申请行政复议、提起行政诉讼情况</w:t>
      </w:r>
    </w:p>
    <w:p>
      <w:pPr>
        <w:spacing w:line="240" w:lineRule="exact"/>
        <w:ind w:right="-105" w:rightChars="-50"/>
        <w:jc w:val="center"/>
        <w:rPr>
          <w:rFonts w:hint="default" w:ascii="Times New Roman" w:hAnsi="Times New Roman" w:eastAsia="文星仿宋" w:cs="Times New Roman"/>
          <w:b w:val="0"/>
          <w:bCs/>
          <w:color w:val="000000"/>
          <w:sz w:val="32"/>
          <w:szCs w:val="32"/>
        </w:rPr>
      </w:pP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文星楷体" w:cs="Times New Roman"/>
                <w:b w:val="0"/>
                <w:bCs/>
                <w:color w:val="000000"/>
                <w:sz w:val="28"/>
                <w:szCs w:val="28"/>
              </w:rPr>
            </w:pPr>
            <w:r>
              <w:rPr>
                <w:rFonts w:hint="default" w:ascii="Times New Roman" w:hAnsi="Times New Roman" w:eastAsia="文星楷体" w:cs="Times New Roman"/>
                <w:b w:val="0"/>
                <w:bCs/>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49" w:leftChars="-71" w:right="-170" w:rightChars="-8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18" w:leftChars="-56" w:right="-118" w:rightChars="-56"/>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w:t>
            </w:r>
          </w:p>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文星仿宋" w:cs="Times New Roman"/>
                <w:b w:val="0"/>
                <w:bCs/>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26" w:leftChars="-60" w:right="-136" w:rightChars="-65"/>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w:t>
            </w:r>
          </w:p>
          <w:p>
            <w:pPr>
              <w:widowControl/>
              <w:spacing w:line="320" w:lineRule="exact"/>
              <w:ind w:left="-164" w:leftChars="-78" w:right="-153" w:rightChars="-73"/>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p>
            <w:pPr>
              <w:widowControl/>
              <w:spacing w:line="320" w:lineRule="exact"/>
              <w:ind w:left="-136" w:leftChars="-65" w:right="-124" w:rightChars="-59"/>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其他</w:t>
            </w:r>
          </w:p>
          <w:p>
            <w:pPr>
              <w:widowControl/>
              <w:spacing w:line="320" w:lineRule="exact"/>
              <w:ind w:left="-173" w:leftChars="-83" w:right="-134" w:rightChars="-64" w:hanging="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文星仿宋" w:cs="Times New Roman"/>
                <w:b w:val="0"/>
                <w:bCs/>
                <w:sz w:val="28"/>
                <w:szCs w:val="28"/>
              </w:rPr>
            </w:pPr>
            <w:r>
              <w:rPr>
                <w:rFonts w:hint="default" w:ascii="Times New Roman" w:hAnsi="Times New Roman" w:eastAsia="文星仿宋"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479"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50"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78"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606"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c>
          <w:tcPr>
            <w:tcW w:w="558" w:type="dxa"/>
            <w:shd w:val="clear" w:color="auto" w:fill="auto"/>
            <w:tcMar>
              <w:left w:w="108" w:type="dxa"/>
              <w:right w:w="108" w:type="dxa"/>
            </w:tcMar>
            <w:vAlign w:val="bottom"/>
          </w:tcPr>
          <w:p>
            <w:pPr>
              <w:widowControl/>
              <w:spacing w:after="180" w:line="320" w:lineRule="exact"/>
              <w:jc w:val="center"/>
              <w:rPr>
                <w:rFonts w:hint="eastAsia" w:ascii="Times New Roman" w:hAnsi="Times New Roman" w:eastAsia="文星仿宋" w:cs="Times New Roman"/>
                <w:b w:val="0"/>
                <w:bCs/>
                <w:sz w:val="32"/>
                <w:szCs w:val="32"/>
                <w:lang w:val="en-US" w:eastAsia="zh-CN"/>
              </w:rPr>
            </w:pPr>
            <w:r>
              <w:rPr>
                <w:rFonts w:hint="eastAsia" w:ascii="Times New Roman" w:hAnsi="Times New Roman" w:eastAsia="文星仿宋" w:cs="Times New Roman"/>
                <w:b w:val="0"/>
                <w:bCs/>
                <w:sz w:val="32"/>
                <w:szCs w:val="32"/>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从整体上看，本单位在政务公开工作中进行了一些积极的探索，各阶段工作抓严抓实，取得一定的成效。但还存在一些问题和不足：一是各科室工作人员对政府信息公开意识强弱不一，认识有待进一步加强；二是信息公开内容广度和深度还不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针对以上问题，下一步我们要着重抓好以下工作：一是加强信息联络人员与业务科室、有关单位的衔接与沟通，努力将信息收集与公开同步进行，确保信息的及时、准确、全面；二是加强对信息联络人员的培训，着力提高机关工作人员信息公开意识，开展多种形式的交流，开阔工作人员视野，加强信息内容提炼和升华。</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黑体" w:cs="Times New Roman"/>
          <w:b w:val="0"/>
          <w:bCs/>
          <w:sz w:val="32"/>
          <w:szCs w:val="32"/>
        </w:rPr>
      </w:pPr>
      <w:r>
        <w:rPr>
          <w:rFonts w:hint="default" w:ascii="Times New Roman" w:hAnsi="Times New Roman" w:eastAsia="文星黑体" w:cs="Times New Roman"/>
          <w:b w:val="0"/>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（一）依据《政府信息公开信息处理费管理办法》</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本单位未</w:t>
      </w:r>
      <w:r>
        <w:rPr>
          <w:rFonts w:hint="default" w:ascii="Times New Roman" w:hAnsi="Times New Roman" w:eastAsia="文星仿宋" w:cs="Times New Roman"/>
          <w:b w:val="0"/>
          <w:bCs/>
          <w:color w:val="000000" w:themeColor="text1"/>
          <w:sz w:val="32"/>
          <w:szCs w:val="32"/>
          <w14:textFill>
            <w14:solidFill>
              <w14:schemeClr w14:val="tx1"/>
            </w14:solidFill>
          </w14:textFill>
        </w:rPr>
        <w:t>收取信息处理费</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（二）</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default" w:ascii="Times New Roman" w:hAnsi="Times New Roman" w:eastAsia="文星仿宋" w:cs="Times New Roman"/>
          <w:b w:val="0"/>
          <w:bCs/>
          <w:color w:val="000000" w:themeColor="text1"/>
          <w:sz w:val="32"/>
          <w:szCs w:val="32"/>
          <w14:textFill>
            <w14:solidFill>
              <w14:schemeClr w14:val="tx1"/>
            </w14:solidFill>
          </w14:textFill>
        </w:rPr>
        <w:t>全面落实了上年度政务公开工作要点，主要包括</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规范完善</w:t>
      </w:r>
      <w:r>
        <w:rPr>
          <w:rFonts w:hint="default" w:ascii="Times New Roman" w:hAnsi="Times New Roman" w:eastAsia="文星仿宋" w:cs="Times New Roman"/>
          <w:b w:val="0"/>
          <w:bCs/>
          <w:color w:val="000000" w:themeColor="text1"/>
          <w:sz w:val="32"/>
          <w:szCs w:val="32"/>
          <w14:textFill>
            <w14:solidFill>
              <w14:schemeClr w14:val="tx1"/>
            </w14:solidFill>
          </w14:textFill>
        </w:rPr>
        <w:t>政务公开工作制度、强化政务公开人员业务培训</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强化政务公开即时性</w:t>
      </w:r>
      <w:r>
        <w:rPr>
          <w:rFonts w:hint="default" w:ascii="Times New Roman" w:hAnsi="Times New Roman" w:eastAsia="文星仿宋" w:cs="Times New Roman"/>
          <w:b w:val="0"/>
          <w:bCs/>
          <w:color w:val="000000" w:themeColor="text1"/>
          <w:sz w:val="32"/>
          <w:szCs w:val="32"/>
          <w14:textFill>
            <w14:solidFill>
              <w14:schemeClr w14:val="tx1"/>
            </w14:solidFill>
          </w14:textFill>
        </w:rPr>
        <w:t>等内容；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（三）</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2023年收到</w:t>
      </w:r>
      <w:r>
        <w:rPr>
          <w:rFonts w:hint="default" w:ascii="Times New Roman" w:hAnsi="Times New Roman" w:eastAsia="文星仿宋" w:cs="Times New Roman"/>
          <w:b w:val="0"/>
          <w:bCs/>
          <w:color w:val="000000" w:themeColor="text1"/>
          <w:sz w:val="32"/>
          <w:szCs w:val="32"/>
          <w14:textFill>
            <w14:solidFill>
              <w14:schemeClr w14:val="tx1"/>
            </w14:solidFill>
          </w14:textFill>
        </w:rPr>
        <w:t>人大代表建议</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1件，</w:t>
      </w:r>
      <w:r>
        <w:rPr>
          <w:rFonts w:hint="default" w:ascii="Times New Roman" w:hAnsi="Times New Roman" w:eastAsia="文星仿宋" w:cs="Times New Roman"/>
          <w:b w:val="0"/>
          <w:bCs/>
          <w:color w:val="000000" w:themeColor="text1"/>
          <w:sz w:val="32"/>
          <w:szCs w:val="32"/>
          <w14:textFill>
            <w14:solidFill>
              <w14:schemeClr w14:val="tx1"/>
            </w14:solidFill>
          </w14:textFill>
        </w:rPr>
        <w:t>政协提案</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1件</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四</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default" w:ascii="Times New Roman" w:hAnsi="Times New Roman" w:eastAsia="文星仿宋" w:cs="Times New Roman"/>
          <w:b w:val="0"/>
          <w:bCs/>
          <w:color w:val="000000" w:themeColor="text1"/>
          <w:sz w:val="32"/>
          <w:szCs w:val="32"/>
          <w14:textFill>
            <w14:solidFill>
              <w14:schemeClr w14:val="tx1"/>
            </w14:solidFill>
          </w14:textFill>
        </w:rPr>
        <w:t>政府信息公开工作年度报告数据统计无其他需要说明的事项；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五</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无</w:t>
      </w:r>
      <w:r>
        <w:rPr>
          <w:rFonts w:hint="default" w:ascii="Times New Roman" w:hAnsi="Times New Roman" w:eastAsia="文星仿宋" w:cs="Times New Roman"/>
          <w:b w:val="0"/>
          <w:bCs/>
          <w:color w:val="000000" w:themeColor="text1"/>
          <w:sz w:val="32"/>
          <w:szCs w:val="32"/>
          <w14:textFill>
            <w14:solidFill>
              <w14:schemeClr w14:val="tx1"/>
            </w14:solidFill>
          </w14:textFill>
        </w:rPr>
        <w:t>需要报告的其他事项；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文星仿宋" w:cs="Times New Roman"/>
          <w:b w:val="0"/>
          <w:bCs/>
          <w:color w:val="000000" w:themeColor="text1"/>
          <w:sz w:val="32"/>
          <w:szCs w:val="32"/>
          <w14:textFill>
            <w14:solidFill>
              <w14:schemeClr w14:val="tx1"/>
            </w14:solidFill>
          </w14:textFill>
        </w:rPr>
      </w:pP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val="en-US" w:eastAsia="zh-CN"/>
          <w14:textFill>
            <w14:solidFill>
              <w14:schemeClr w14:val="tx1"/>
            </w14:solidFill>
          </w14:textFill>
        </w:rPr>
        <w:t>六</w:t>
      </w:r>
      <w:r>
        <w:rPr>
          <w:rFonts w:hint="default" w:ascii="Times New Roman" w:hAnsi="Times New Roman" w:eastAsia="文星仿宋" w:cs="Times New Roman"/>
          <w:b w:val="0"/>
          <w:bCs/>
          <w:color w:val="000000" w:themeColor="text1"/>
          <w:sz w:val="32"/>
          <w:szCs w:val="32"/>
          <w14:textFill>
            <w14:solidFill>
              <w14:schemeClr w14:val="tx1"/>
            </w14:solidFill>
          </w14:textFill>
        </w:rPr>
        <w:t>）</w:t>
      </w:r>
      <w:r>
        <w:rPr>
          <w:rFonts w:hint="eastAsia" w:ascii="Times New Roman" w:hAnsi="Times New Roman" w:eastAsia="文星仿宋" w:cs="Times New Roman"/>
          <w:b w:val="0"/>
          <w:bCs/>
          <w:color w:val="000000" w:themeColor="text1"/>
          <w:sz w:val="32"/>
          <w:szCs w:val="32"/>
          <w:lang w:eastAsia="zh-CN"/>
          <w14:textFill>
            <w14:solidFill>
              <w14:schemeClr w14:val="tx1"/>
            </w14:solidFill>
          </w14:textFill>
        </w:rPr>
        <w:t>本单位</w:t>
      </w:r>
      <w:r>
        <w:rPr>
          <w:rFonts w:hint="default" w:ascii="Times New Roman" w:hAnsi="Times New Roman" w:eastAsia="文星仿宋" w:cs="Times New Roman"/>
          <w:b w:val="0"/>
          <w:bCs/>
          <w:color w:val="000000" w:themeColor="text1"/>
          <w:sz w:val="32"/>
          <w:szCs w:val="32"/>
          <w:lang w:val="en-US" w:eastAsia="zh-CN"/>
          <w14:textFill>
            <w14:solidFill>
              <w14:schemeClr w14:val="tx1"/>
            </w14:solidFill>
          </w14:textFill>
        </w:rPr>
        <w:t>无</w:t>
      </w:r>
      <w:r>
        <w:rPr>
          <w:rFonts w:hint="default" w:ascii="Times New Roman" w:hAnsi="Times New Roman" w:eastAsia="文星仿宋" w:cs="Times New Roman"/>
          <w:b w:val="0"/>
          <w:bCs/>
          <w:color w:val="000000" w:themeColor="text1"/>
          <w:sz w:val="32"/>
          <w:szCs w:val="32"/>
          <w14:textFill>
            <w14:solidFill>
              <w14:schemeClr w14:val="tx1"/>
            </w14:solidFill>
          </w14:textFill>
        </w:rPr>
        <w:t>其他有关文件专门要求通过政府信息公开工作年度报告予以报告的事项。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楷体"/>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ZWEwZTIxZmQ1YzM4NWVhMGE1YzExM2Y3NmQzOTkifQ=="/>
  </w:docVars>
  <w:rsids>
    <w:rsidRoot w:val="00000000"/>
    <w:rsid w:val="01414FB4"/>
    <w:rsid w:val="04770389"/>
    <w:rsid w:val="052B1173"/>
    <w:rsid w:val="0869230A"/>
    <w:rsid w:val="099866AB"/>
    <w:rsid w:val="0AFD2C6A"/>
    <w:rsid w:val="0CCA19BF"/>
    <w:rsid w:val="0D6B035F"/>
    <w:rsid w:val="101705D1"/>
    <w:rsid w:val="10857F6B"/>
    <w:rsid w:val="108B4D21"/>
    <w:rsid w:val="109C2817"/>
    <w:rsid w:val="11A2456B"/>
    <w:rsid w:val="13AA5959"/>
    <w:rsid w:val="15363948"/>
    <w:rsid w:val="166C5148"/>
    <w:rsid w:val="168B3A44"/>
    <w:rsid w:val="16ED44DA"/>
    <w:rsid w:val="176302F9"/>
    <w:rsid w:val="17B46DA6"/>
    <w:rsid w:val="18161AC4"/>
    <w:rsid w:val="181A30AD"/>
    <w:rsid w:val="18443758"/>
    <w:rsid w:val="18B90B18"/>
    <w:rsid w:val="18DC0363"/>
    <w:rsid w:val="197C38F4"/>
    <w:rsid w:val="19810F0A"/>
    <w:rsid w:val="1A6012F5"/>
    <w:rsid w:val="1B977205"/>
    <w:rsid w:val="1C7656A8"/>
    <w:rsid w:val="1D90796E"/>
    <w:rsid w:val="1DB07938"/>
    <w:rsid w:val="1EF65EF6"/>
    <w:rsid w:val="1FEA15B7"/>
    <w:rsid w:val="20DF4E94"/>
    <w:rsid w:val="21BA145D"/>
    <w:rsid w:val="21E25749"/>
    <w:rsid w:val="221548E5"/>
    <w:rsid w:val="223764C1"/>
    <w:rsid w:val="228D26CE"/>
    <w:rsid w:val="23AD2068"/>
    <w:rsid w:val="249146F7"/>
    <w:rsid w:val="27A504B9"/>
    <w:rsid w:val="2AE9690F"/>
    <w:rsid w:val="2BC8258C"/>
    <w:rsid w:val="2CB41F57"/>
    <w:rsid w:val="2DE57DA4"/>
    <w:rsid w:val="2E153814"/>
    <w:rsid w:val="30270532"/>
    <w:rsid w:val="304C2C3B"/>
    <w:rsid w:val="307B0F42"/>
    <w:rsid w:val="30A6152A"/>
    <w:rsid w:val="310628B2"/>
    <w:rsid w:val="36A44440"/>
    <w:rsid w:val="37CB1876"/>
    <w:rsid w:val="381C20D2"/>
    <w:rsid w:val="388C54AA"/>
    <w:rsid w:val="39DA3FF3"/>
    <w:rsid w:val="3C5A10FB"/>
    <w:rsid w:val="3C6127A9"/>
    <w:rsid w:val="3CE12EFD"/>
    <w:rsid w:val="3DFF227A"/>
    <w:rsid w:val="3E1F291C"/>
    <w:rsid w:val="3E43485C"/>
    <w:rsid w:val="3EFC4A0B"/>
    <w:rsid w:val="3F4C7741"/>
    <w:rsid w:val="40204729"/>
    <w:rsid w:val="40786313"/>
    <w:rsid w:val="41597EF3"/>
    <w:rsid w:val="424C7A58"/>
    <w:rsid w:val="42771BAB"/>
    <w:rsid w:val="42D812EB"/>
    <w:rsid w:val="42E934F8"/>
    <w:rsid w:val="42FC322C"/>
    <w:rsid w:val="440C56F0"/>
    <w:rsid w:val="45CA5863"/>
    <w:rsid w:val="48856440"/>
    <w:rsid w:val="4A2117CA"/>
    <w:rsid w:val="4AEB11C9"/>
    <w:rsid w:val="4BAD1567"/>
    <w:rsid w:val="4BEB208F"/>
    <w:rsid w:val="4DC4703C"/>
    <w:rsid w:val="4DF64584"/>
    <w:rsid w:val="4E48067E"/>
    <w:rsid w:val="4E5B174E"/>
    <w:rsid w:val="4EA4699D"/>
    <w:rsid w:val="502D0EC8"/>
    <w:rsid w:val="52B0193D"/>
    <w:rsid w:val="538C4158"/>
    <w:rsid w:val="55F12136"/>
    <w:rsid w:val="57956E41"/>
    <w:rsid w:val="57B40121"/>
    <w:rsid w:val="58405511"/>
    <w:rsid w:val="58523B82"/>
    <w:rsid w:val="590F3C63"/>
    <w:rsid w:val="5A6C3146"/>
    <w:rsid w:val="5B2D4472"/>
    <w:rsid w:val="5C66158A"/>
    <w:rsid w:val="5C845229"/>
    <w:rsid w:val="5C960101"/>
    <w:rsid w:val="5CA02A22"/>
    <w:rsid w:val="5D35760E"/>
    <w:rsid w:val="5D6B3030"/>
    <w:rsid w:val="5D9131E9"/>
    <w:rsid w:val="5D9500AD"/>
    <w:rsid w:val="5F180F96"/>
    <w:rsid w:val="5F683CCB"/>
    <w:rsid w:val="60716BAF"/>
    <w:rsid w:val="61652290"/>
    <w:rsid w:val="62165C60"/>
    <w:rsid w:val="630F445E"/>
    <w:rsid w:val="63402869"/>
    <w:rsid w:val="63894210"/>
    <w:rsid w:val="65165CD1"/>
    <w:rsid w:val="65BF715C"/>
    <w:rsid w:val="67153F35"/>
    <w:rsid w:val="678A0FE2"/>
    <w:rsid w:val="679D5FDA"/>
    <w:rsid w:val="67FA56DC"/>
    <w:rsid w:val="682E2F31"/>
    <w:rsid w:val="6A64154D"/>
    <w:rsid w:val="6A767EB5"/>
    <w:rsid w:val="6BA93428"/>
    <w:rsid w:val="6D76389C"/>
    <w:rsid w:val="6D95190B"/>
    <w:rsid w:val="6E331948"/>
    <w:rsid w:val="6ED07928"/>
    <w:rsid w:val="6F481423"/>
    <w:rsid w:val="70757FF6"/>
    <w:rsid w:val="70861A76"/>
    <w:rsid w:val="72473C14"/>
    <w:rsid w:val="73801053"/>
    <w:rsid w:val="74E70047"/>
    <w:rsid w:val="76E71522"/>
    <w:rsid w:val="76EB6E7B"/>
    <w:rsid w:val="78523882"/>
    <w:rsid w:val="78E026CC"/>
    <w:rsid w:val="7AD973D3"/>
    <w:rsid w:val="7B0C3167"/>
    <w:rsid w:val="7C5C02BC"/>
    <w:rsid w:val="7D2F777E"/>
    <w:rsid w:val="7D494CE4"/>
    <w:rsid w:val="7EFB2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latin typeface="Times New Roman" panose="02020603050405020304" charset="0"/>
                <a:ea typeface="方正小标宋简体" panose="03000509000000000000" charset="-122"/>
                <a:cs typeface="Times New Roman" panose="02020603050405020304" charset="0"/>
              </a:rPr>
              <a:t>2023</a:t>
            </a:r>
            <a:r>
              <a:rPr altLang="en-US">
                <a:latin typeface="Times New Roman" panose="02020603050405020304" charset="0"/>
                <a:ea typeface="方正小标宋简体" panose="03000509000000000000" charset="-122"/>
                <a:cs typeface="Times New Roman" panose="02020603050405020304" charset="0"/>
              </a:rPr>
              <a:t>年微山县南阳古镇旅游管理服务中心主动公开政府信息（</a:t>
            </a:r>
            <a:r>
              <a:rPr lang="en-US" altLang="zh-CN">
                <a:latin typeface="Times New Roman" panose="02020603050405020304" charset="0"/>
                <a:ea typeface="方正小标宋简体" panose="03000509000000000000" charset="-122"/>
                <a:cs typeface="Times New Roman" panose="02020603050405020304" charset="0"/>
              </a:rPr>
              <a:t>22</a:t>
            </a:r>
            <a:r>
              <a:rPr altLang="en-US">
                <a:latin typeface="Times New Roman" panose="02020603050405020304" charset="0"/>
                <a:ea typeface="方正小标宋简体" panose="03000509000000000000" charset="-122"/>
                <a:cs typeface="Times New Roman" panose="02020603050405020304" charset="0"/>
              </a:rPr>
              <a:t>条）</a:t>
            </a:r>
            <a:endParaRPr altLang="en-US">
              <a:latin typeface="Times New Roman" panose="02020603050405020304" charset="0"/>
              <a:ea typeface="方正小标宋简体" panose="03000509000000000000" charset="-122"/>
              <a:cs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专题会议14%</c:v>
                </c:pt>
                <c:pt idx="1">
                  <c:v>部门会议23%</c:v>
                </c:pt>
                <c:pt idx="2">
                  <c:v>政务公开培训部署会议14%</c:v>
                </c:pt>
                <c:pt idx="3">
                  <c:v>其他主动公开政府信息50%</c:v>
                </c:pt>
              </c:strCache>
            </c:strRef>
          </c:cat>
          <c:val>
            <c:numRef>
              <c:f>Sheet1!$B$2:$B$5</c:f>
              <c:numCache>
                <c:formatCode>General</c:formatCode>
                <c:ptCount val="4"/>
                <c:pt idx="0">
                  <c:v>3</c:v>
                </c:pt>
                <c:pt idx="1">
                  <c:v>5</c:v>
                </c:pt>
                <c:pt idx="2">
                  <c:v>3</c:v>
                </c:pt>
                <c:pt idx="3">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2690</Words>
  <Characters>2834</Characters>
  <Lines>0</Lines>
  <Paragraphs>0</Paragraphs>
  <TotalTime>178</TotalTime>
  <ScaleCrop>false</ScaleCrop>
  <LinksUpToDate>false</LinksUpToDate>
  <CharactersWithSpaces>2854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阳光下的少年</cp:lastModifiedBy>
  <cp:lastPrinted>2024-01-31T02:30:10Z</cp:lastPrinted>
  <dcterms:modified xsi:type="dcterms:W3CDTF">2024-01-31T05:35:48Z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2D177CB092A7402DAC82FBD977EA7262_13</vt:lpwstr>
  </property>
</Properties>
</file>