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微山县财政局2022年政府信息公开</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工作年度报告</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 w:hAnsi="仿宋" w:eastAsia="仿宋" w:cs="仿宋"/>
          <w:b/>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color w:val="000000" w:themeColor="text1"/>
          <w:kern w:val="2"/>
          <w:sz w:val="32"/>
          <w:szCs w:val="32"/>
          <w:lang w:val="en-US" w:eastAsia="zh-CN" w:bidi="ar-SA"/>
          <w14:textFill>
            <w14:solidFill>
              <w14:schemeClr w14:val="tx1"/>
            </w14:solidFill>
          </w14:textFill>
        </w:rPr>
        <w:t>本报告由济宁市微山县财政局按照《中华人民共和国政府信息公开条例》（以下简称《条例》）和《中华人民共和国政府信息公开工作年度报告格式》（国办公开办函〔2021〕30号）要求编制。</w:t>
      </w:r>
    </w:p>
    <w:p>
      <w:pPr>
        <w:keepNext w:val="0"/>
        <w:keepLines w:val="0"/>
        <w:pageBreakBefore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 w:hAnsi="仿宋" w:eastAsia="仿宋" w:cs="仿宋"/>
          <w:b/>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color w:val="000000" w:themeColor="text1"/>
          <w:kern w:val="2"/>
          <w:sz w:val="32"/>
          <w:szCs w:val="32"/>
          <w:lang w:val="en-US" w:eastAsia="zh-CN" w:bidi="ar-SA"/>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3" w:firstLineChars="200"/>
        <w:jc w:val="left"/>
        <w:textAlignment w:val="auto"/>
        <w:rPr>
          <w:rFonts w:hint="eastAsia" w:ascii="仿宋" w:hAnsi="仿宋" w:eastAsia="仿宋" w:cs="仿宋"/>
          <w:b/>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color w:val="000000" w:themeColor="text1"/>
          <w:kern w:val="2"/>
          <w:sz w:val="32"/>
          <w:szCs w:val="32"/>
          <w:lang w:val="en-US" w:eastAsia="zh-CN" w:bidi="ar-SA"/>
          <w14:textFill>
            <w14:solidFill>
              <w14:schemeClr w14:val="tx1"/>
            </w14:solidFill>
          </w14:textFill>
        </w:rPr>
        <w:t>本报告所列数据的统计期限自2022年1月1日起至2022年12月31日止。本报告的电子版可在微山县政府门户网站</w:t>
      </w:r>
      <w:r>
        <w:rPr>
          <w:rFonts w:hint="eastAsia" w:ascii="仿宋" w:hAnsi="仿宋" w:eastAsia="仿宋" w:cs="仿宋"/>
          <w:b/>
          <w:bCs w:val="0"/>
          <w:color w:val="000000" w:themeColor="text1"/>
          <w:kern w:val="2"/>
          <w:sz w:val="32"/>
          <w:szCs w:val="32"/>
          <w:lang w:val="en-US" w:eastAsia="zh-CN" w:bidi="ar-SA"/>
          <w14:textFill>
            <w14:solidFill>
              <w14:schemeClr w14:val="tx1"/>
            </w14:solidFill>
          </w14:textFill>
        </w:rPr>
        <w:t>（http://www.weishan.gov.cn/</w:t>
      </w:r>
      <w:r>
        <w:rPr>
          <w:rFonts w:hint="eastAsia" w:ascii="仿宋" w:hAnsi="仿宋" w:eastAsia="仿宋" w:cs="仿宋"/>
          <w:b/>
          <w:color w:val="000000" w:themeColor="text1"/>
          <w:kern w:val="2"/>
          <w:sz w:val="32"/>
          <w:szCs w:val="32"/>
          <w:lang w:val="en-US" w:eastAsia="zh-CN" w:bidi="ar-SA"/>
          <w14:textFill>
            <w14:solidFill>
              <w14:schemeClr w14:val="tx1"/>
            </w14:solidFill>
          </w14:textFill>
        </w:rPr>
        <w:t>）查阅或下载。</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3" w:firstLineChars="200"/>
        <w:jc w:val="left"/>
        <w:textAlignment w:val="auto"/>
        <w:rPr>
          <w:rFonts w:hint="eastAsia" w:ascii="仿宋" w:hAnsi="仿宋" w:eastAsia="仿宋" w:cs="仿宋"/>
          <w:b/>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color w:val="000000" w:themeColor="text1"/>
          <w:kern w:val="2"/>
          <w:sz w:val="32"/>
          <w:szCs w:val="32"/>
          <w:lang w:val="en-US" w:eastAsia="zh-CN" w:bidi="ar-SA"/>
          <w14:textFill>
            <w14:solidFill>
              <w14:schemeClr w14:val="tx1"/>
            </w14:solidFill>
          </w14:textFill>
        </w:rPr>
        <w:t>如对本报告有任何疑问，请与济宁市微山县财政局办公室联系（地址：山东省济宁市微山县商业街16号；邮编：277600；电话：0537-8222810；传真：0537-8222634  电子邮箱：wsxbgs_dianzizhengwu@ji.shandong.cn）。</w:t>
      </w:r>
    </w:p>
    <w:p>
      <w:pPr>
        <w:keepNext w:val="0"/>
        <w:keepLines w:val="0"/>
        <w:pageBreakBefore w:val="0"/>
        <w:kinsoku/>
        <w:wordWrap/>
        <w:overflowPunct/>
        <w:topLinePunct w:val="0"/>
        <w:autoSpaceDE/>
        <w:autoSpaceDN/>
        <w:bidi w:val="0"/>
        <w:adjustRightInd/>
        <w:snapToGrid/>
        <w:spacing w:line="600" w:lineRule="exact"/>
        <w:ind w:right="0" w:rightChars="0" w:firstLine="420" w:firstLineChars="200"/>
        <w:textAlignment w:val="auto"/>
        <w:rPr>
          <w:rFonts w:hint="eastAsia" w:ascii="黑体" w:hAnsi="黑体" w:eastAsia="黑体" w:cs="黑体"/>
          <w:b/>
          <w:color w:val="000000" w:themeColor="text1"/>
          <w:sz w:val="32"/>
          <w:szCs w:val="32"/>
          <w:lang w:val="en-US" w:eastAsia="zh-CN"/>
          <w14:textFill>
            <w14:solidFill>
              <w14:schemeClr w14:val="tx1"/>
            </w14:solidFill>
          </w14:textFill>
        </w:rPr>
      </w:pPr>
      <w:r>
        <w:rPr>
          <w:rFonts w:hint="eastAsia"/>
          <w:lang w:val="en-US" w:eastAsia="zh-CN"/>
        </w:rPr>
        <w:t xml:space="preserve">    </w:t>
      </w:r>
      <w:r>
        <w:rPr>
          <w:rFonts w:hint="eastAsia" w:ascii="黑体" w:hAnsi="黑体" w:eastAsia="黑体" w:cs="黑体"/>
          <w:b/>
          <w:color w:val="000000" w:themeColor="text1"/>
          <w:sz w:val="32"/>
          <w:szCs w:val="32"/>
          <w:lang w:val="en-US" w:eastAsia="zh-CN"/>
          <w14:textFill>
            <w14:solidFill>
              <w14:schemeClr w14:val="tx1"/>
            </w14:solidFill>
          </w14:textFill>
        </w:rPr>
        <w:t>一、总体情况</w:t>
      </w:r>
    </w:p>
    <w:p>
      <w:pPr>
        <w:keepNext w:val="0"/>
        <w:keepLines w:val="0"/>
        <w:pageBreakBefore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 w:hAnsi="仿宋" w:eastAsia="仿宋" w:cs="仿宋"/>
          <w:b/>
          <w:color w:val="000000" w:themeColor="text1"/>
          <w:sz w:val="32"/>
          <w:szCs w:val="32"/>
          <w:lang w:val="en-US" w:eastAsia="zh-CN"/>
          <w14:textFill>
            <w14:solidFill>
              <w14:schemeClr w14:val="tx1"/>
            </w14:solidFill>
          </w14:textFill>
        </w:rPr>
      </w:pPr>
      <w:r>
        <w:rPr>
          <w:rFonts w:hint="eastAsia" w:ascii="楷体" w:hAnsi="楷体" w:eastAsia="楷体" w:cs="楷体"/>
          <w:b/>
          <w:color w:val="000000" w:themeColor="text1"/>
          <w:sz w:val="32"/>
          <w:szCs w:val="32"/>
          <w:lang w:val="en-US" w:eastAsia="zh-CN"/>
          <w14:textFill>
            <w14:solidFill>
              <w14:schemeClr w14:val="tx1"/>
            </w14:solidFill>
          </w14:textFill>
        </w:rPr>
        <w:t>（一）贯彻落实新修订的《条例》情况</w:t>
      </w:r>
      <w:r>
        <w:rPr>
          <w:rFonts w:hint="eastAsia" w:ascii="仿宋" w:hAnsi="仿宋" w:eastAsia="仿宋" w:cs="仿宋"/>
          <w:b/>
          <w:color w:val="000000" w:themeColor="text1"/>
          <w:sz w:val="32"/>
          <w:szCs w:val="32"/>
          <w:lang w:val="en-US" w:eastAsia="zh-CN"/>
          <w14:textFill>
            <w14:solidFill>
              <w14:schemeClr w14:val="tx1"/>
            </w14:solidFill>
          </w14:textFill>
        </w:rPr>
        <w:t>。一是学习传达法规精神。利用周五集体学习时间，组织开展学习贯彻《条例》专题活动，进一步学习传达文件精神，要求广大财政干部积极学习和宣传《条例》有关内容，为下步贯彻落实工作奠定坚实思想基础。二是主动落实工作责任。按照《条例》最新规定，强化提升政务公开意识，顺应“互联网+政务”发展趋势，努力增强政务公开工作的自觉性和主动性。健全完善政务公开各项制度机制，提升主动公开的规范化水平。</w:t>
      </w:r>
    </w:p>
    <w:p>
      <w:pPr>
        <w:keepNext w:val="0"/>
        <w:keepLines w:val="0"/>
        <w:pageBreakBefore w:val="0"/>
        <w:kinsoku/>
        <w:wordWrap/>
        <w:overflowPunct/>
        <w:topLinePunct w:val="0"/>
        <w:autoSpaceDE/>
        <w:autoSpaceDN/>
        <w:bidi w:val="0"/>
        <w:adjustRightInd/>
        <w:snapToGrid/>
        <w:spacing w:line="600" w:lineRule="exact"/>
        <w:ind w:right="0" w:rightChars="0" w:firstLine="643" w:firstLineChars="200"/>
        <w:textAlignment w:val="auto"/>
        <w:rPr>
          <w:rFonts w:hint="default" w:ascii="仿宋" w:hAnsi="仿宋" w:eastAsia="仿宋" w:cs="仿宋"/>
          <w:b/>
          <w:color w:val="000000" w:themeColor="text1"/>
          <w:sz w:val="32"/>
          <w:szCs w:val="32"/>
          <w:lang w:val="en-US" w:eastAsia="zh-CN"/>
          <w14:textFill>
            <w14:solidFill>
              <w14:schemeClr w14:val="tx1"/>
            </w14:solidFill>
          </w14:textFill>
        </w:rPr>
      </w:pPr>
      <w:r>
        <w:rPr>
          <w:rFonts w:hint="eastAsia" w:ascii="仿宋" w:hAnsi="仿宋" w:eastAsia="仿宋" w:cs="仿宋"/>
          <w:b/>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b/>
          <w:color w:val="000000" w:themeColor="text1"/>
          <w:sz w:val="32"/>
          <w:szCs w:val="32"/>
          <w:lang w:val="en-US" w:eastAsia="zh-CN"/>
          <w14:textFill>
            <w14:solidFill>
              <w14:schemeClr w14:val="tx1"/>
            </w14:solidFill>
          </w14:textFill>
        </w:rPr>
        <w:t>（</w:t>
      </w:r>
      <w:r>
        <w:rPr>
          <w:rFonts w:hint="eastAsia" w:ascii="楷体" w:hAnsi="楷体" w:eastAsia="楷体" w:cs="楷体"/>
          <w:b/>
          <w:color w:val="000000" w:themeColor="text1"/>
          <w:sz w:val="32"/>
          <w:szCs w:val="32"/>
          <w:lang w:val="en-US" w:eastAsia="zh-CN"/>
          <w14:textFill>
            <w14:solidFill>
              <w14:schemeClr w14:val="tx1"/>
            </w14:solidFill>
          </w14:textFill>
        </w:rPr>
        <w:t>二）主动公开情况</w:t>
      </w:r>
      <w:r>
        <w:rPr>
          <w:rFonts w:hint="eastAsia" w:ascii="楷体_GB2312" w:hAnsi="楷体_GB2312" w:eastAsia="楷体_GB2312" w:cs="楷体_GB2312"/>
          <w:b/>
          <w:color w:val="000000" w:themeColor="text1"/>
          <w:sz w:val="32"/>
          <w:szCs w:val="32"/>
          <w:lang w:val="en-US" w:eastAsia="zh-CN"/>
          <w14:textFill>
            <w14:solidFill>
              <w14:schemeClr w14:val="tx1"/>
            </w14:solidFill>
          </w14:textFill>
        </w:rPr>
        <w:t>。</w:t>
      </w:r>
      <w:r>
        <w:rPr>
          <w:rFonts w:hint="eastAsia" w:ascii="仿宋" w:hAnsi="仿宋" w:eastAsia="仿宋" w:cs="仿宋"/>
          <w:b/>
          <w:color w:val="000000" w:themeColor="text1"/>
          <w:sz w:val="32"/>
          <w:szCs w:val="32"/>
          <w:lang w:val="en-US" w:eastAsia="zh-CN"/>
          <w14:textFill>
            <w14:solidFill>
              <w14:schemeClr w14:val="tx1"/>
            </w14:solidFill>
          </w14:textFill>
        </w:rPr>
        <w:t>2022年度，县财政局政府信息公开数量为296条，其中县政府预决算信息2条；县直部门预算79条；县直部门决算79条；政府收支信息12条；政府债务信息4条；政府集中采购信息14条；重大项目绩效信息2条；双随机一公开5条；行政执法公开信息13条；工作动态信息19条；通知公告信息26条；行政事业收费信息13条；本部门会议信息12条；财政直达资金信息16条。</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eastAsia" w:ascii="仿宋" w:hAnsi="仿宋" w:eastAsia="仿宋" w:cs="仿宋"/>
          <w:b/>
          <w:color w:val="000000" w:themeColor="text1"/>
          <w:kern w:val="2"/>
          <w:sz w:val="32"/>
          <w:szCs w:val="32"/>
          <w:lang w:val="en-US" w:eastAsia="zh-CN" w:bidi="ar-SA"/>
          <w14:textFill>
            <w14:solidFill>
              <w14:schemeClr w14:val="tx1"/>
            </w14:solidFill>
          </w14:textFill>
        </w:rPr>
      </w:pPr>
      <w:r>
        <w:rPr>
          <w:rFonts w:hint="eastAsia" w:ascii="楷体" w:hAnsi="楷体" w:eastAsia="楷体" w:cs="楷体"/>
          <w:b/>
          <w:color w:val="000000" w:themeColor="text1"/>
          <w:kern w:val="2"/>
          <w:sz w:val="32"/>
          <w:szCs w:val="32"/>
          <w:lang w:val="en-US" w:eastAsia="zh-CN" w:bidi="ar-SA"/>
          <w14:textFill>
            <w14:solidFill>
              <w14:schemeClr w14:val="tx1"/>
            </w14:solidFill>
          </w14:textFill>
        </w:rPr>
        <w:t>（三）依申请公开情况。</w:t>
      </w:r>
      <w:r>
        <w:rPr>
          <w:rFonts w:hint="eastAsia" w:ascii="仿宋" w:hAnsi="仿宋" w:eastAsia="仿宋" w:cs="仿宋"/>
          <w:b/>
          <w:color w:val="000000" w:themeColor="text1"/>
          <w:kern w:val="2"/>
          <w:sz w:val="32"/>
          <w:szCs w:val="32"/>
          <w:lang w:val="en-US" w:eastAsia="zh-CN" w:bidi="ar-SA"/>
          <w14:textFill>
            <w14:solidFill>
              <w14:schemeClr w14:val="tx1"/>
            </w14:solidFill>
          </w14:textFill>
        </w:rPr>
        <w:t>2022年度，微山县财政局收到政府信息公开申请信息0条。</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480" w:firstLineChars="200"/>
        <w:jc w:val="both"/>
        <w:textAlignment w:val="auto"/>
        <w:rPr>
          <w:rFonts w:hint="eastAsia" w:ascii="仿宋" w:hAnsi="仿宋" w:eastAsia="仿宋" w:cs="仿宋"/>
          <w:b/>
          <w:color w:val="000000" w:themeColor="text1"/>
          <w:kern w:val="2"/>
          <w:sz w:val="32"/>
          <w:szCs w:val="32"/>
          <w:lang w:val="en-US" w:eastAsia="zh-CN" w:bidi="ar-SA"/>
          <w14:textFill>
            <w14:solidFill>
              <w14:schemeClr w14:val="tx1"/>
            </w14:solidFill>
          </w14:textFill>
        </w:rPr>
      </w:pPr>
      <w:r>
        <w:rPr>
          <w:rFonts w:hint="eastAsia"/>
          <w:lang w:val="en-US" w:eastAsia="zh-CN"/>
        </w:rPr>
        <w:t xml:space="preserve"> </w:t>
      </w:r>
      <w:r>
        <w:rPr>
          <w:rFonts w:hint="eastAsia" w:ascii="楷体" w:hAnsi="楷体" w:eastAsia="楷体" w:cs="楷体"/>
          <w:b/>
          <w:color w:val="000000" w:themeColor="text1"/>
          <w:kern w:val="2"/>
          <w:sz w:val="32"/>
          <w:szCs w:val="32"/>
          <w:lang w:val="en-US" w:eastAsia="zh-CN" w:bidi="ar-SA"/>
          <w14:textFill>
            <w14:solidFill>
              <w14:schemeClr w14:val="tx1"/>
            </w14:solidFill>
          </w14:textFill>
        </w:rPr>
        <w:t>（四）政府信息管理情况。</w:t>
      </w:r>
      <w:r>
        <w:rPr>
          <w:rFonts w:hint="eastAsia" w:ascii="仿宋" w:hAnsi="仿宋" w:eastAsia="仿宋" w:cs="仿宋"/>
          <w:b/>
          <w:color w:val="000000" w:themeColor="text1"/>
          <w:kern w:val="2"/>
          <w:sz w:val="32"/>
          <w:szCs w:val="32"/>
          <w:lang w:val="en-US" w:eastAsia="zh-CN" w:bidi="ar-SA"/>
          <w14:textFill>
            <w14:solidFill>
              <w14:schemeClr w14:val="tx1"/>
            </w14:solidFill>
          </w14:textFill>
        </w:rPr>
        <w:t>一是严格明确公文制发信息公开属性。所有制发的正式公文均明确该文件信息公开属性，准确区分界定主动公开、依申请公开和不予公开类型，确保该公开的按程序主动公开，依申请公开的依据申请及时公开，不予公开的做好解释说明工作。二是严格落实保密审查机制。所有主动公开信息均需填写《微山县财政局政府信息公开保密审查表》，对拟公开的政府信息进行保密审查，确保公开信息的有效性和准确性，有效杜绝泄密事件发生。</w:t>
      </w:r>
    </w:p>
    <w:p>
      <w:pPr>
        <w:spacing w:line="590" w:lineRule="exact"/>
        <w:ind w:right="-105" w:rightChars="-50" w:firstLine="643" w:firstLineChars="200"/>
        <w:rPr>
          <w:rFonts w:hint="default" w:ascii="楷体" w:hAnsi="楷体" w:eastAsia="楷体" w:cs="楷体"/>
          <w:b/>
          <w:color w:val="000000" w:themeColor="text1"/>
          <w:kern w:val="2"/>
          <w:sz w:val="32"/>
          <w:szCs w:val="32"/>
          <w:lang w:val="en-US" w:eastAsia="zh-CN" w:bidi="ar-SA"/>
          <w14:textFill>
            <w14:solidFill>
              <w14:schemeClr w14:val="tx1"/>
            </w14:solidFill>
          </w14:textFill>
        </w:rPr>
      </w:pPr>
      <w:r>
        <w:rPr>
          <w:rFonts w:hint="default" w:ascii="楷体" w:hAnsi="楷体" w:eastAsia="楷体" w:cs="楷体"/>
          <w:b/>
          <w:color w:val="000000" w:themeColor="text1"/>
          <w:kern w:val="2"/>
          <w:sz w:val="32"/>
          <w:szCs w:val="32"/>
          <w:lang w:val="en-US" w:eastAsia="zh-CN" w:bidi="ar-SA"/>
          <w14:textFill>
            <w14:solidFill>
              <w14:schemeClr w14:val="tx1"/>
            </w14:solidFill>
          </w14:textFill>
        </w:rPr>
        <w:t>（五）监督保障情况</w:t>
      </w:r>
    </w:p>
    <w:p>
      <w:pPr>
        <w:spacing w:line="590" w:lineRule="exact"/>
        <w:ind w:right="-105" w:rightChars="-50" w:firstLine="643" w:firstLineChars="200"/>
        <w:rPr>
          <w:rFonts w:hint="eastAsia" w:ascii="仿宋" w:hAnsi="仿宋" w:eastAsia="仿宋" w:cs="仿宋"/>
          <w:b/>
          <w:color w:val="000000" w:themeColor="text1"/>
          <w:kern w:val="2"/>
          <w:sz w:val="32"/>
          <w:szCs w:val="32"/>
          <w:lang w:val="en-US" w:eastAsia="zh-CN" w:bidi="ar-SA"/>
          <w14:textFill>
            <w14:solidFill>
              <w14:schemeClr w14:val="tx1"/>
            </w14:solidFill>
          </w14:textFill>
        </w:rPr>
      </w:pPr>
      <w:r>
        <w:rPr>
          <w:rFonts w:hint="eastAsia" w:ascii="楷体" w:hAnsi="楷体" w:eastAsia="楷体" w:cs="楷体"/>
          <w:b/>
          <w:color w:val="000000" w:themeColor="text1"/>
          <w:kern w:val="2"/>
          <w:sz w:val="32"/>
          <w:szCs w:val="32"/>
          <w:lang w:val="en-US" w:eastAsia="zh-CN" w:bidi="ar-SA"/>
          <w14:textFill>
            <w14:solidFill>
              <w14:schemeClr w14:val="tx1"/>
            </w14:solidFill>
          </w14:textFill>
        </w:rPr>
        <w:t xml:space="preserve"> </w:t>
      </w:r>
      <w:r>
        <w:rPr>
          <w:rFonts w:hint="eastAsia" w:ascii="仿宋" w:hAnsi="仿宋" w:eastAsia="仿宋" w:cs="仿宋"/>
          <w:b/>
          <w:color w:val="000000" w:themeColor="text1"/>
          <w:kern w:val="2"/>
          <w:sz w:val="32"/>
          <w:szCs w:val="32"/>
          <w:lang w:val="en-US" w:eastAsia="zh-CN" w:bidi="ar-SA"/>
          <w14:textFill>
            <w14:solidFill>
              <w14:schemeClr w14:val="tx1"/>
            </w14:solidFill>
          </w14:textFill>
        </w:rPr>
        <w:t>为切实加强本单位政务公开工作的组织领导，结合局领导分工经局党组研究决定，调整本单位政务公开工作领导小组，由党组书记、局长任小组组长，其他党组成员为副组长，科室领导人为成员的领导小组。积极把政务公开工作作为科室一项重要工作，加强财政预决算、政府采购、各类财政资金等财政信息的公开工作。局办公室及时收集信息，上传更新财政公开信息，真正做到政务公开推进单位工作。</w:t>
      </w:r>
    </w:p>
    <w:p>
      <w:pPr>
        <w:spacing w:line="590" w:lineRule="exact"/>
        <w:ind w:right="-105" w:rightChars="-50" w:firstLine="643" w:firstLineChars="200"/>
        <w:rPr>
          <w:rFonts w:hint="eastAsia"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二、主动公开政府信息情况</w:t>
      </w:r>
    </w:p>
    <w:tbl>
      <w:tblPr>
        <w:tblStyle w:val="4"/>
        <w:tblW w:w="882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fixed"/>
        <w:tblCellMar>
          <w:top w:w="0" w:type="dxa"/>
          <w:left w:w="108" w:type="dxa"/>
          <w:bottom w:w="0" w:type="dxa"/>
          <w:right w:w="108" w:type="dxa"/>
        </w:tblCellMar>
      </w:tblPr>
      <w:tblGrid>
        <w:gridCol w:w="2206"/>
        <w:gridCol w:w="2206"/>
        <w:gridCol w:w="2206"/>
        <w:gridCol w:w="22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fixed"/>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hint="eastAsia" w:ascii="仿宋" w:hAnsi="仿宋" w:eastAsia="仿宋" w:cs="仿宋"/>
                <w:b/>
                <w:color w:val="000000"/>
                <w:sz w:val="28"/>
                <w:szCs w:val="28"/>
              </w:rPr>
            </w:pPr>
            <w:r>
              <w:rPr>
                <w:rFonts w:hint="eastAsia" w:ascii="仿宋" w:hAnsi="仿宋" w:eastAsia="仿宋" w:cs="仿宋"/>
                <w:b/>
                <w:color w:val="000000" w:themeColor="text1"/>
                <w:sz w:val="28"/>
                <w:szCs w:val="28"/>
                <w14:textFill>
                  <w14:solidFill>
                    <w14:schemeClr w14:val="tx1"/>
                  </w14:solidFill>
                </w14:textFill>
              </w:rPr>
              <w:t>第二十条第（一）项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信息内容</w:t>
            </w:r>
          </w:p>
        </w:tc>
        <w:tc>
          <w:tcPr>
            <w:tcW w:w="2206" w:type="dxa"/>
            <w:shd w:val="clear" w:color="auto" w:fill="FFFFFF" w:themeFill="background1"/>
            <w:vAlign w:val="center"/>
          </w:tcPr>
          <w:p>
            <w:pPr>
              <w:widowControl/>
              <w:spacing w:line="34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本年制发件数</w:t>
            </w:r>
          </w:p>
        </w:tc>
        <w:tc>
          <w:tcPr>
            <w:tcW w:w="2206" w:type="dxa"/>
            <w:shd w:val="clear" w:color="auto" w:fill="FFFFFF" w:themeFill="background1"/>
            <w:vAlign w:val="center"/>
          </w:tcPr>
          <w:p>
            <w:pPr>
              <w:widowControl/>
              <w:spacing w:line="34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本年废止件数</w:t>
            </w:r>
          </w:p>
        </w:tc>
        <w:tc>
          <w:tcPr>
            <w:tcW w:w="2206" w:type="dxa"/>
            <w:shd w:val="clear" w:color="auto" w:fill="FFFFFF" w:themeFill="background1"/>
            <w:vAlign w:val="center"/>
          </w:tcPr>
          <w:p>
            <w:pPr>
              <w:widowControl/>
              <w:spacing w:line="34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现行有效件数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规章</w:t>
            </w:r>
          </w:p>
        </w:tc>
        <w:tc>
          <w:tcPr>
            <w:tcW w:w="2206" w:type="dxa"/>
            <w:shd w:val="clear" w:color="auto" w:fill="FFFFFF" w:themeFill="background1"/>
            <w:vAlign w:val="center"/>
          </w:tcPr>
          <w:p>
            <w:pPr>
              <w:widowControl/>
              <w:spacing w:line="340" w:lineRule="exact"/>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0</w:t>
            </w:r>
          </w:p>
        </w:tc>
        <w:tc>
          <w:tcPr>
            <w:tcW w:w="2206" w:type="dxa"/>
            <w:shd w:val="clear" w:color="auto" w:fill="FFFFFF" w:themeFill="background1"/>
            <w:vAlign w:val="center"/>
          </w:tcPr>
          <w:p>
            <w:pPr>
              <w:widowControl/>
              <w:spacing w:line="340" w:lineRule="exact"/>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0</w:t>
            </w:r>
          </w:p>
        </w:tc>
        <w:tc>
          <w:tcPr>
            <w:tcW w:w="2206" w:type="dxa"/>
            <w:shd w:val="clear" w:color="auto" w:fill="FFFFFF" w:themeFill="background1"/>
            <w:vAlign w:val="center"/>
          </w:tcPr>
          <w:p>
            <w:pPr>
              <w:widowControl/>
              <w:spacing w:line="340" w:lineRule="exact"/>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行政规范性文件</w:t>
            </w:r>
          </w:p>
        </w:tc>
        <w:tc>
          <w:tcPr>
            <w:tcW w:w="2206" w:type="dxa"/>
            <w:shd w:val="clear" w:color="auto" w:fill="FFFFFF" w:themeFill="background1"/>
            <w:vAlign w:val="center"/>
          </w:tcPr>
          <w:p>
            <w:pPr>
              <w:widowControl/>
              <w:spacing w:line="340" w:lineRule="exact"/>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0</w:t>
            </w:r>
          </w:p>
        </w:tc>
        <w:tc>
          <w:tcPr>
            <w:tcW w:w="2206" w:type="dxa"/>
            <w:shd w:val="clear" w:color="auto" w:fill="FFFFFF" w:themeFill="background1"/>
            <w:vAlign w:val="center"/>
          </w:tcPr>
          <w:p>
            <w:pPr>
              <w:widowControl/>
              <w:spacing w:line="340" w:lineRule="exact"/>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0</w:t>
            </w:r>
          </w:p>
        </w:tc>
        <w:tc>
          <w:tcPr>
            <w:tcW w:w="2206" w:type="dxa"/>
            <w:shd w:val="clear" w:color="auto" w:fill="FFFFFF" w:themeFill="background1"/>
            <w:vAlign w:val="center"/>
          </w:tcPr>
          <w:p>
            <w:pPr>
              <w:widowControl/>
              <w:spacing w:line="340" w:lineRule="exact"/>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hint="eastAsia" w:ascii="仿宋" w:hAnsi="仿宋" w:eastAsia="仿宋" w:cs="仿宋"/>
                <w:b/>
                <w:color w:val="000000"/>
                <w:sz w:val="28"/>
                <w:szCs w:val="28"/>
              </w:rPr>
            </w:pPr>
            <w:r>
              <w:rPr>
                <w:rFonts w:hint="eastAsia" w:ascii="仿宋" w:hAnsi="仿宋" w:eastAsia="仿宋" w:cs="仿宋"/>
                <w:b/>
                <w:color w:val="000000" w:themeColor="text1"/>
                <w:sz w:val="28"/>
                <w:szCs w:val="28"/>
                <w14:textFill>
                  <w14:solidFill>
                    <w14:schemeClr w14:val="tx1"/>
                  </w14:solidFill>
                </w14:textFill>
              </w:rPr>
              <w:t>第二十条第（五）项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信息内容</w:t>
            </w:r>
          </w:p>
        </w:tc>
        <w:tc>
          <w:tcPr>
            <w:tcW w:w="6618" w:type="dxa"/>
            <w:gridSpan w:val="3"/>
            <w:shd w:val="clear" w:color="auto" w:fill="FFFFFF" w:themeFill="background1"/>
            <w:vAlign w:val="center"/>
          </w:tcPr>
          <w:p>
            <w:pPr>
              <w:widowControl/>
              <w:spacing w:line="34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行政许可</w:t>
            </w:r>
          </w:p>
        </w:tc>
        <w:tc>
          <w:tcPr>
            <w:tcW w:w="6618" w:type="dxa"/>
            <w:gridSpan w:val="3"/>
            <w:shd w:val="clear" w:color="auto" w:fill="FFFFFF" w:themeFill="background1"/>
            <w:vAlign w:val="center"/>
          </w:tcPr>
          <w:p>
            <w:pPr>
              <w:widowControl/>
              <w:spacing w:line="340" w:lineRule="exact"/>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hint="eastAsia" w:ascii="仿宋" w:hAnsi="仿宋" w:eastAsia="仿宋" w:cs="仿宋"/>
                <w:b/>
                <w:color w:val="000000"/>
                <w:sz w:val="28"/>
                <w:szCs w:val="28"/>
              </w:rPr>
            </w:pPr>
            <w:r>
              <w:rPr>
                <w:rFonts w:hint="eastAsia" w:ascii="仿宋" w:hAnsi="仿宋" w:eastAsia="仿宋" w:cs="仿宋"/>
                <w:b/>
                <w:color w:val="000000" w:themeColor="text1"/>
                <w:sz w:val="28"/>
                <w:szCs w:val="28"/>
                <w14:textFill>
                  <w14:solidFill>
                    <w14:schemeClr w14:val="tx1"/>
                  </w14:solidFill>
                </w14:textFill>
              </w:rPr>
              <w:t>第二十条第（六）项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信息内容</w:t>
            </w:r>
          </w:p>
        </w:tc>
        <w:tc>
          <w:tcPr>
            <w:tcW w:w="6618" w:type="dxa"/>
            <w:gridSpan w:val="3"/>
            <w:shd w:val="clear" w:color="auto" w:fill="FFFFFF" w:themeFill="background1"/>
            <w:vAlign w:val="center"/>
          </w:tcPr>
          <w:p>
            <w:pPr>
              <w:widowControl/>
              <w:spacing w:line="34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行政处罚</w:t>
            </w:r>
          </w:p>
        </w:tc>
        <w:tc>
          <w:tcPr>
            <w:tcW w:w="6618" w:type="dxa"/>
            <w:gridSpan w:val="3"/>
            <w:shd w:val="clear" w:color="auto" w:fill="FFFFFF" w:themeFill="background1"/>
            <w:vAlign w:val="center"/>
          </w:tcPr>
          <w:p>
            <w:pPr>
              <w:widowControl/>
              <w:spacing w:line="340" w:lineRule="exact"/>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行政强制</w:t>
            </w:r>
          </w:p>
        </w:tc>
        <w:tc>
          <w:tcPr>
            <w:tcW w:w="6618" w:type="dxa"/>
            <w:gridSpan w:val="3"/>
            <w:shd w:val="clear" w:color="auto" w:fill="FFFFFF" w:themeFill="background1"/>
            <w:vAlign w:val="center"/>
          </w:tcPr>
          <w:p>
            <w:pPr>
              <w:widowControl/>
              <w:spacing w:line="340" w:lineRule="exact"/>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hint="eastAsia" w:ascii="仿宋" w:hAnsi="仿宋" w:eastAsia="仿宋" w:cs="仿宋"/>
                <w:b/>
                <w:color w:val="000000"/>
                <w:sz w:val="28"/>
                <w:szCs w:val="28"/>
              </w:rPr>
            </w:pPr>
            <w:r>
              <w:rPr>
                <w:rFonts w:hint="eastAsia" w:ascii="仿宋" w:hAnsi="仿宋" w:eastAsia="仿宋" w:cs="仿宋"/>
                <w:b/>
                <w:color w:val="000000" w:themeColor="text1"/>
                <w:sz w:val="28"/>
                <w:szCs w:val="28"/>
                <w14:textFill>
                  <w14:solidFill>
                    <w14:schemeClr w14:val="tx1"/>
                  </w14:solidFill>
                </w14:textFill>
              </w:rPr>
              <w:t>第二十条第（八）项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信息内容</w:t>
            </w:r>
          </w:p>
        </w:tc>
        <w:tc>
          <w:tcPr>
            <w:tcW w:w="6618" w:type="dxa"/>
            <w:gridSpan w:val="3"/>
            <w:shd w:val="clear" w:color="auto" w:fill="FFFFFF" w:themeFill="background1"/>
            <w:vAlign w:val="center"/>
          </w:tcPr>
          <w:p>
            <w:pPr>
              <w:widowControl/>
              <w:spacing w:line="34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本年收费金额（单位：万元）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行政事业性收费</w:t>
            </w:r>
          </w:p>
        </w:tc>
        <w:tc>
          <w:tcPr>
            <w:tcW w:w="6618" w:type="dxa"/>
            <w:gridSpan w:val="3"/>
            <w:shd w:val="clear" w:color="auto" w:fill="FFFFFF" w:themeFill="background1"/>
            <w:vAlign w:val="center"/>
          </w:tcPr>
          <w:p>
            <w:pPr>
              <w:widowControl/>
              <w:spacing w:line="340" w:lineRule="exact"/>
              <w:jc w:val="center"/>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0</w:t>
            </w:r>
          </w:p>
        </w:tc>
      </w:tr>
    </w:tbl>
    <w:p>
      <w:pPr>
        <w:spacing w:line="590" w:lineRule="exact"/>
        <w:ind w:right="-105" w:rightChars="-50" w:firstLine="643" w:firstLineChars="200"/>
        <w:rPr>
          <w:rFonts w:hint="eastAsia"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lang w:eastAsia="zh-CN"/>
          <w14:textFill>
            <w14:solidFill>
              <w14:schemeClr w14:val="tx1"/>
            </w14:solidFill>
          </w14:textFill>
        </w:rPr>
        <w:t>三、</w:t>
      </w:r>
      <w:r>
        <w:rPr>
          <w:rFonts w:hint="eastAsia" w:ascii="黑体" w:hAnsi="黑体" w:eastAsia="黑体" w:cs="黑体"/>
          <w:b/>
          <w:color w:val="000000" w:themeColor="text1"/>
          <w:sz w:val="32"/>
          <w:szCs w:val="32"/>
          <w14:textFill>
            <w14:solidFill>
              <w14:schemeClr w14:val="tx1"/>
            </w14:solidFill>
          </w14:textFill>
        </w:rPr>
        <w:t>收到和处理政府信息公开申请情况</w:t>
      </w:r>
    </w:p>
    <w:p>
      <w:pPr>
        <w:spacing w:line="240" w:lineRule="exact"/>
        <w:ind w:right="-105" w:rightChars="-50"/>
        <w:jc w:val="center"/>
        <w:rPr>
          <w:rFonts w:hint="eastAsia" w:ascii="仿宋" w:hAnsi="仿宋" w:eastAsia="仿宋" w:cs="仿宋"/>
          <w:b/>
          <w:color w:val="000000"/>
          <w:sz w:val="32"/>
          <w:szCs w:val="32"/>
        </w:rPr>
      </w:pPr>
    </w:p>
    <w:p>
      <w:pPr>
        <w:spacing w:line="240" w:lineRule="exact"/>
        <w:ind w:right="-105" w:rightChars="-50"/>
        <w:jc w:val="center"/>
        <w:rPr>
          <w:rFonts w:hint="eastAsia" w:ascii="仿宋" w:hAnsi="仿宋" w:eastAsia="仿宋" w:cs="仿宋"/>
          <w:b/>
          <w:color w:val="000000"/>
          <w:sz w:val="32"/>
          <w:szCs w:val="32"/>
        </w:rPr>
      </w:pPr>
    </w:p>
    <w:p>
      <w:pPr>
        <w:spacing w:line="240" w:lineRule="exact"/>
        <w:ind w:right="-105" w:rightChars="-50"/>
        <w:jc w:val="center"/>
        <w:rPr>
          <w:rFonts w:hint="eastAsia" w:ascii="仿宋" w:hAnsi="仿宋" w:eastAsia="仿宋" w:cs="仿宋"/>
          <w:b/>
          <w:color w:val="000000"/>
          <w:sz w:val="32"/>
          <w:szCs w:val="32"/>
        </w:rPr>
      </w:pPr>
    </w:p>
    <w:p>
      <w:pPr>
        <w:spacing w:line="240" w:lineRule="exact"/>
        <w:ind w:right="-105" w:rightChars="-50"/>
        <w:jc w:val="center"/>
        <w:rPr>
          <w:rFonts w:hint="eastAsia" w:ascii="仿宋" w:hAnsi="仿宋" w:eastAsia="仿宋" w:cs="仿宋"/>
          <w:b/>
          <w:color w:val="000000"/>
          <w:sz w:val="32"/>
          <w:szCs w:val="32"/>
        </w:rPr>
      </w:pPr>
    </w:p>
    <w:tbl>
      <w:tblPr>
        <w:tblStyle w:val="4"/>
        <w:tblW w:w="88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5"/>
        <w:gridCol w:w="1162"/>
        <w:gridCol w:w="2581"/>
        <w:gridCol w:w="829"/>
        <w:gridCol w:w="567"/>
        <w:gridCol w:w="567"/>
        <w:gridCol w:w="571"/>
        <w:gridCol w:w="567"/>
        <w:gridCol w:w="567"/>
        <w:gridCol w:w="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4698" w:type="dxa"/>
            <w:gridSpan w:val="3"/>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（本列数据的勾稽关系为：第一项加第二项之和，</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等于第三项加第四项之和）</w:t>
            </w:r>
          </w:p>
        </w:tc>
        <w:tc>
          <w:tcPr>
            <w:tcW w:w="4129" w:type="dxa"/>
            <w:gridSpan w:val="7"/>
            <w:shd w:val="clear" w:color="auto" w:fill="auto"/>
            <w:tcMar>
              <w:left w:w="108" w:type="dxa"/>
              <w:right w:w="108" w:type="dxa"/>
            </w:tcMar>
            <w:vAlign w:val="center"/>
          </w:tcPr>
          <w:p>
            <w:pPr>
              <w:widowControl/>
              <w:spacing w:line="260" w:lineRule="exact"/>
              <w:jc w:val="center"/>
              <w:rPr>
                <w:rFonts w:hint="eastAsia" w:ascii="仿宋" w:hAnsi="仿宋" w:eastAsia="仿宋" w:cs="仿宋"/>
                <w:b/>
                <w:sz w:val="28"/>
                <w:szCs w:val="28"/>
              </w:rPr>
            </w:pPr>
            <w:r>
              <w:rPr>
                <w:rFonts w:hint="eastAsia" w:ascii="仿宋" w:hAnsi="仿宋" w:eastAsia="仿宋" w:cs="仿宋"/>
                <w:b/>
                <w:sz w:val="28"/>
                <w:szCs w:val="28"/>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4698" w:type="dxa"/>
            <w:gridSpan w:val="3"/>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p>
        </w:tc>
        <w:tc>
          <w:tcPr>
            <w:tcW w:w="829" w:type="dxa"/>
            <w:vMerge w:val="restart"/>
            <w:shd w:val="clear" w:color="auto" w:fill="auto"/>
            <w:tcMar>
              <w:left w:w="108" w:type="dxa"/>
              <w:right w:w="108" w:type="dxa"/>
            </w:tcMar>
            <w:vAlign w:val="center"/>
          </w:tcPr>
          <w:p>
            <w:pPr>
              <w:widowControl/>
              <w:spacing w:line="260" w:lineRule="exact"/>
              <w:jc w:val="center"/>
              <w:rPr>
                <w:rFonts w:hint="eastAsia" w:ascii="仿宋" w:hAnsi="仿宋" w:eastAsia="仿宋" w:cs="仿宋"/>
                <w:b/>
                <w:sz w:val="28"/>
                <w:szCs w:val="28"/>
              </w:rPr>
            </w:pPr>
            <w:r>
              <w:rPr>
                <w:rFonts w:hint="eastAsia" w:ascii="仿宋" w:hAnsi="仿宋" w:eastAsia="仿宋" w:cs="仿宋"/>
                <w:b/>
                <w:sz w:val="28"/>
                <w:szCs w:val="28"/>
              </w:rPr>
              <w:t>自然人</w:t>
            </w:r>
          </w:p>
        </w:tc>
        <w:tc>
          <w:tcPr>
            <w:tcW w:w="2839" w:type="dxa"/>
            <w:gridSpan w:val="5"/>
            <w:shd w:val="clear" w:color="auto" w:fill="auto"/>
            <w:tcMar>
              <w:left w:w="108" w:type="dxa"/>
              <w:right w:w="108" w:type="dxa"/>
            </w:tcMar>
            <w:vAlign w:val="center"/>
          </w:tcPr>
          <w:p>
            <w:pPr>
              <w:widowControl/>
              <w:spacing w:line="260" w:lineRule="exact"/>
              <w:jc w:val="center"/>
              <w:rPr>
                <w:rFonts w:hint="eastAsia" w:ascii="仿宋" w:hAnsi="仿宋" w:eastAsia="仿宋" w:cs="仿宋"/>
                <w:b/>
                <w:sz w:val="28"/>
                <w:szCs w:val="28"/>
              </w:rPr>
            </w:pPr>
            <w:r>
              <w:rPr>
                <w:rFonts w:hint="eastAsia" w:ascii="仿宋" w:hAnsi="仿宋" w:eastAsia="仿宋" w:cs="仿宋"/>
                <w:b/>
                <w:sz w:val="28"/>
                <w:szCs w:val="28"/>
              </w:rPr>
              <w:t>法人或其他组织</w:t>
            </w:r>
          </w:p>
        </w:tc>
        <w:tc>
          <w:tcPr>
            <w:tcW w:w="461" w:type="dxa"/>
            <w:vMerge w:val="restart"/>
            <w:shd w:val="clear" w:color="auto" w:fill="auto"/>
            <w:tcMar>
              <w:left w:w="108" w:type="dxa"/>
              <w:right w:w="108" w:type="dxa"/>
            </w:tcMar>
            <w:vAlign w:val="center"/>
          </w:tcPr>
          <w:p>
            <w:pPr>
              <w:widowControl/>
              <w:spacing w:line="260" w:lineRule="exact"/>
              <w:jc w:val="center"/>
              <w:rPr>
                <w:rFonts w:hint="eastAsia" w:ascii="仿宋" w:hAnsi="仿宋" w:eastAsia="仿宋" w:cs="仿宋"/>
                <w:b/>
                <w:sz w:val="28"/>
                <w:szCs w:val="28"/>
              </w:rPr>
            </w:pPr>
            <w:r>
              <w:rPr>
                <w:rFonts w:hint="eastAsia" w:ascii="仿宋" w:hAnsi="仿宋" w:eastAsia="仿宋" w:cs="仿宋"/>
                <w:b/>
                <w:sz w:val="28"/>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83" w:hRule="atLeast"/>
          <w:jc w:val="center"/>
        </w:trPr>
        <w:tc>
          <w:tcPr>
            <w:tcW w:w="4698" w:type="dxa"/>
            <w:gridSpan w:val="3"/>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p>
        </w:tc>
        <w:tc>
          <w:tcPr>
            <w:tcW w:w="829" w:type="dxa"/>
            <w:vMerge w:val="continue"/>
            <w:shd w:val="clear" w:color="auto" w:fill="auto"/>
            <w:tcMar>
              <w:left w:w="108" w:type="dxa"/>
              <w:right w:w="108" w:type="dxa"/>
            </w:tcMar>
            <w:vAlign w:val="center"/>
          </w:tcPr>
          <w:p>
            <w:pPr>
              <w:spacing w:line="260" w:lineRule="exact"/>
              <w:jc w:val="center"/>
              <w:rPr>
                <w:rFonts w:hint="eastAsia" w:ascii="仿宋" w:hAnsi="仿宋" w:eastAsia="仿宋" w:cs="仿宋"/>
                <w:b/>
                <w:sz w:val="28"/>
                <w:szCs w:val="28"/>
              </w:rPr>
            </w:pPr>
          </w:p>
        </w:tc>
        <w:tc>
          <w:tcPr>
            <w:tcW w:w="567" w:type="dxa"/>
            <w:shd w:val="clear" w:color="auto" w:fill="auto"/>
            <w:tcMar>
              <w:left w:w="108" w:type="dxa"/>
              <w:right w:w="108" w:type="dxa"/>
            </w:tcMar>
            <w:vAlign w:val="center"/>
          </w:tcPr>
          <w:p>
            <w:pPr>
              <w:widowControl/>
              <w:spacing w:line="260" w:lineRule="exact"/>
              <w:ind w:left="-106" w:leftChars="-51" w:right="-107" w:rightChars="-51" w:hanging="1"/>
              <w:jc w:val="center"/>
              <w:rPr>
                <w:rFonts w:hint="eastAsia" w:ascii="仿宋" w:hAnsi="仿宋" w:eastAsia="仿宋" w:cs="仿宋"/>
                <w:b/>
                <w:sz w:val="28"/>
                <w:szCs w:val="28"/>
              </w:rPr>
            </w:pPr>
            <w:r>
              <w:rPr>
                <w:rFonts w:hint="eastAsia" w:ascii="仿宋" w:hAnsi="仿宋" w:eastAsia="仿宋" w:cs="仿宋"/>
                <w:b/>
                <w:sz w:val="28"/>
                <w:szCs w:val="28"/>
              </w:rPr>
              <w:t>商业企业</w:t>
            </w:r>
          </w:p>
        </w:tc>
        <w:tc>
          <w:tcPr>
            <w:tcW w:w="567" w:type="dxa"/>
            <w:shd w:val="clear" w:color="auto" w:fill="auto"/>
            <w:tcMar>
              <w:left w:w="108" w:type="dxa"/>
              <w:right w:w="108" w:type="dxa"/>
            </w:tcMar>
            <w:vAlign w:val="center"/>
          </w:tcPr>
          <w:p>
            <w:pPr>
              <w:widowControl/>
              <w:spacing w:line="260" w:lineRule="exact"/>
              <w:ind w:left="-107" w:leftChars="-51" w:right="-107" w:rightChars="-51"/>
              <w:jc w:val="center"/>
              <w:rPr>
                <w:rFonts w:hint="eastAsia" w:ascii="仿宋" w:hAnsi="仿宋" w:eastAsia="仿宋" w:cs="仿宋"/>
                <w:b/>
                <w:sz w:val="28"/>
                <w:szCs w:val="28"/>
              </w:rPr>
            </w:pPr>
            <w:r>
              <w:rPr>
                <w:rFonts w:hint="eastAsia" w:ascii="仿宋" w:hAnsi="仿宋" w:eastAsia="仿宋" w:cs="仿宋"/>
                <w:b/>
                <w:sz w:val="28"/>
                <w:szCs w:val="28"/>
              </w:rPr>
              <w:t>科研机构</w:t>
            </w:r>
          </w:p>
        </w:tc>
        <w:tc>
          <w:tcPr>
            <w:tcW w:w="571" w:type="dxa"/>
            <w:shd w:val="clear" w:color="auto" w:fill="auto"/>
            <w:tcMar>
              <w:left w:w="108" w:type="dxa"/>
              <w:right w:w="108" w:type="dxa"/>
            </w:tcMar>
            <w:vAlign w:val="center"/>
          </w:tcPr>
          <w:p>
            <w:pPr>
              <w:widowControl/>
              <w:spacing w:line="260" w:lineRule="exact"/>
              <w:ind w:left="-107" w:leftChars="-51" w:right="-107" w:rightChars="-51"/>
              <w:jc w:val="center"/>
              <w:rPr>
                <w:rFonts w:hint="eastAsia" w:ascii="仿宋" w:hAnsi="仿宋" w:eastAsia="仿宋" w:cs="仿宋"/>
                <w:b/>
                <w:sz w:val="28"/>
                <w:szCs w:val="28"/>
              </w:rPr>
            </w:pPr>
            <w:r>
              <w:rPr>
                <w:rFonts w:hint="eastAsia" w:ascii="仿宋" w:hAnsi="仿宋" w:eastAsia="仿宋" w:cs="仿宋"/>
                <w:b/>
                <w:sz w:val="28"/>
                <w:szCs w:val="28"/>
              </w:rPr>
              <w:t>社会公益组织</w:t>
            </w:r>
          </w:p>
        </w:tc>
        <w:tc>
          <w:tcPr>
            <w:tcW w:w="567" w:type="dxa"/>
            <w:shd w:val="clear" w:color="auto" w:fill="auto"/>
            <w:tcMar>
              <w:left w:w="108" w:type="dxa"/>
              <w:right w:w="108" w:type="dxa"/>
            </w:tcMar>
            <w:vAlign w:val="center"/>
          </w:tcPr>
          <w:p>
            <w:pPr>
              <w:widowControl/>
              <w:spacing w:line="260" w:lineRule="exact"/>
              <w:ind w:left="-106" w:leftChars="-51" w:right="-107" w:rightChars="-51" w:hanging="1"/>
              <w:jc w:val="center"/>
              <w:rPr>
                <w:rFonts w:hint="eastAsia" w:ascii="仿宋" w:hAnsi="仿宋" w:eastAsia="仿宋" w:cs="仿宋"/>
                <w:b/>
                <w:sz w:val="28"/>
                <w:szCs w:val="28"/>
              </w:rPr>
            </w:pPr>
            <w:r>
              <w:rPr>
                <w:rFonts w:hint="eastAsia" w:ascii="仿宋" w:hAnsi="仿宋" w:eastAsia="仿宋" w:cs="仿宋"/>
                <w:b/>
                <w:sz w:val="28"/>
                <w:szCs w:val="28"/>
              </w:rPr>
              <w:t>法律服务机构</w:t>
            </w:r>
          </w:p>
        </w:tc>
        <w:tc>
          <w:tcPr>
            <w:tcW w:w="567" w:type="dxa"/>
            <w:shd w:val="clear" w:color="auto" w:fill="auto"/>
            <w:tcMar>
              <w:left w:w="108" w:type="dxa"/>
              <w:right w:w="108" w:type="dxa"/>
            </w:tcMar>
            <w:vAlign w:val="center"/>
          </w:tcPr>
          <w:p>
            <w:pPr>
              <w:widowControl/>
              <w:spacing w:line="260" w:lineRule="exact"/>
              <w:ind w:left="-63" w:leftChars="-30" w:right="-134" w:rightChars="-64"/>
              <w:jc w:val="center"/>
              <w:rPr>
                <w:rFonts w:hint="eastAsia" w:ascii="仿宋" w:hAnsi="仿宋" w:eastAsia="仿宋" w:cs="仿宋"/>
                <w:b/>
                <w:sz w:val="28"/>
                <w:szCs w:val="28"/>
              </w:rPr>
            </w:pPr>
            <w:r>
              <w:rPr>
                <w:rFonts w:hint="eastAsia" w:ascii="仿宋" w:hAnsi="仿宋" w:eastAsia="仿宋" w:cs="仿宋"/>
                <w:b/>
                <w:sz w:val="28"/>
                <w:szCs w:val="28"/>
              </w:rPr>
              <w:t>其他</w:t>
            </w:r>
          </w:p>
        </w:tc>
        <w:tc>
          <w:tcPr>
            <w:tcW w:w="461" w:type="dxa"/>
            <w:vMerge w:val="continue"/>
            <w:shd w:val="clear" w:color="auto" w:fill="auto"/>
            <w:tcMar>
              <w:left w:w="108" w:type="dxa"/>
              <w:right w:w="108" w:type="dxa"/>
            </w:tcMar>
            <w:vAlign w:val="center"/>
          </w:tcPr>
          <w:p>
            <w:pPr>
              <w:spacing w:line="260" w:lineRule="exact"/>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6" w:hRule="atLeast"/>
          <w:jc w:val="center"/>
        </w:trPr>
        <w:tc>
          <w:tcPr>
            <w:tcW w:w="4698"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一、本年新收政府信息公开申请数量</w:t>
            </w:r>
          </w:p>
        </w:tc>
        <w:tc>
          <w:tcPr>
            <w:tcW w:w="829" w:type="dxa"/>
            <w:shd w:val="clear" w:color="auto" w:fill="auto"/>
            <w:tcMar>
              <w:left w:w="108" w:type="dxa"/>
              <w:right w:w="108" w:type="dxa"/>
            </w:tcMar>
            <w:vAlign w:val="center"/>
          </w:tcPr>
          <w:p>
            <w:pPr>
              <w:widowControl/>
              <w:spacing w:line="260" w:lineRule="exact"/>
              <w:jc w:val="center"/>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7" w:hRule="atLeast"/>
          <w:jc w:val="center"/>
        </w:trPr>
        <w:tc>
          <w:tcPr>
            <w:tcW w:w="4698"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二、上年结转政府信息公开申请数量</w:t>
            </w:r>
          </w:p>
        </w:tc>
        <w:tc>
          <w:tcPr>
            <w:tcW w:w="829" w:type="dxa"/>
            <w:shd w:val="clear" w:color="auto" w:fill="auto"/>
            <w:tcMar>
              <w:left w:w="108" w:type="dxa"/>
              <w:right w:w="108" w:type="dxa"/>
            </w:tcMar>
            <w:vAlign w:val="center"/>
          </w:tcPr>
          <w:p>
            <w:pPr>
              <w:widowControl/>
              <w:spacing w:line="260" w:lineRule="exact"/>
              <w:jc w:val="center"/>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955"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三、本年度办理结果</w:t>
            </w:r>
          </w:p>
        </w:tc>
        <w:tc>
          <w:tcPr>
            <w:tcW w:w="3743"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（一）予以公开</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7" w:hRule="atLeast"/>
          <w:jc w:val="center"/>
        </w:trPr>
        <w:tc>
          <w:tcPr>
            <w:tcW w:w="955"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p>
        </w:tc>
        <w:tc>
          <w:tcPr>
            <w:tcW w:w="3743"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（二）部分公开（区分处理的，只计这一情形，不计其他情形）</w:t>
            </w:r>
          </w:p>
        </w:tc>
        <w:tc>
          <w:tcPr>
            <w:tcW w:w="829" w:type="dxa"/>
            <w:shd w:val="clear" w:color="auto" w:fill="auto"/>
            <w:tcMar>
              <w:left w:w="108" w:type="dxa"/>
              <w:right w:w="108" w:type="dxa"/>
            </w:tcMar>
            <w:vAlign w:val="center"/>
          </w:tcPr>
          <w:p>
            <w:pPr>
              <w:widowControl/>
              <w:spacing w:line="260" w:lineRule="exact"/>
              <w:jc w:val="center"/>
              <w:rPr>
                <w:rFonts w:hint="default"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sz w:val="28"/>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（三）不予公开</w:t>
            </w: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1.属于国家秘密</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17"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2.其他法律行政法规禁止公开</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7"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3.危及“三安全一稳定”</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7"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4.保护第三方合法权益</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3"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5.属于三类内部事务信息</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3"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6.属于四类过程性信息</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4"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7.属于行政执法案卷</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0"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8.属于行政查询事项</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0"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sz w:val="28"/>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（四）无法提供</w:t>
            </w: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1.本机关不掌握相关政府信息</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3"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2.没有现成信息需要另行制作</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7"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3.</w:t>
            </w:r>
            <w:r>
              <w:rPr>
                <w:rFonts w:hint="eastAsia" w:ascii="仿宋" w:hAnsi="仿宋" w:eastAsia="仿宋" w:cs="仿宋"/>
                <w:b/>
                <w:spacing w:val="-8"/>
                <w:sz w:val="28"/>
                <w:szCs w:val="28"/>
              </w:rPr>
              <w:t>补正后申请内容仍不明确</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0"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sz w:val="28"/>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（五）不予处理</w:t>
            </w: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1.信访举报投诉类申请</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6"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p>
        </w:tc>
        <w:tc>
          <w:tcPr>
            <w:tcW w:w="2581" w:type="dxa"/>
            <w:shd w:val="clear" w:color="auto" w:fill="auto"/>
            <w:tcMar>
              <w:left w:w="108" w:type="dxa"/>
              <w:right w:w="108" w:type="dxa"/>
            </w:tcMar>
            <w:vAlign w:val="center"/>
          </w:tcPr>
          <w:p>
            <w:pPr>
              <w:widowControl/>
              <w:spacing w:line="260" w:lineRule="exact"/>
              <w:rPr>
                <w:rFonts w:hint="eastAsia" w:ascii="仿宋" w:hAnsi="仿宋" w:eastAsia="仿宋" w:cs="仿宋"/>
                <w:b/>
                <w:sz w:val="28"/>
                <w:szCs w:val="28"/>
              </w:rPr>
            </w:pPr>
            <w:r>
              <w:rPr>
                <w:rFonts w:hint="eastAsia" w:ascii="仿宋" w:hAnsi="仿宋" w:eastAsia="仿宋" w:cs="仿宋"/>
                <w:b/>
                <w:sz w:val="28"/>
                <w:szCs w:val="28"/>
              </w:rPr>
              <w:t>2.重复申请</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0"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3.要求提供公开出版物</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0"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4.</w:t>
            </w:r>
            <w:r>
              <w:rPr>
                <w:rFonts w:hint="eastAsia" w:ascii="仿宋" w:hAnsi="仿宋" w:eastAsia="仿宋" w:cs="仿宋"/>
                <w:b/>
                <w:spacing w:val="-8"/>
                <w:sz w:val="28"/>
                <w:szCs w:val="28"/>
              </w:rPr>
              <w:t>无正当理由大量反复申请</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3"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5.要求行政机关确认或重新出具已获取信息</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40"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sz w:val="28"/>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（六）其他处理</w:t>
            </w:r>
          </w:p>
        </w:tc>
        <w:tc>
          <w:tcPr>
            <w:tcW w:w="258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1</w:t>
            </w:r>
            <w:r>
              <w:rPr>
                <w:rFonts w:hint="eastAsia" w:ascii="仿宋" w:hAnsi="仿宋" w:eastAsia="仿宋" w:cs="仿宋"/>
                <w:b/>
                <w:color w:val="000000"/>
                <w:sz w:val="28"/>
                <w:szCs w:val="28"/>
              </w:rPr>
              <w:t>.申请人无正当理由逾期不补正、行政机关不再处理其政府信息公开申请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40"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sz w:val="28"/>
                <w:szCs w:val="28"/>
              </w:rPr>
            </w:pPr>
          </w:p>
        </w:tc>
        <w:tc>
          <w:tcPr>
            <w:tcW w:w="1162" w:type="dxa"/>
            <w:vMerge w:val="continue"/>
            <w:shd w:val="clear" w:color="auto" w:fill="auto"/>
            <w:tcMar>
              <w:left w:w="108" w:type="dxa"/>
              <w:right w:w="108" w:type="dxa"/>
            </w:tcMar>
            <w:vAlign w:val="center"/>
          </w:tcPr>
          <w:p>
            <w:pPr>
              <w:widowControl/>
              <w:spacing w:line="260" w:lineRule="exact"/>
              <w:rPr>
                <w:rFonts w:hint="eastAsia" w:ascii="仿宋" w:hAnsi="仿宋" w:eastAsia="仿宋" w:cs="仿宋"/>
                <w:b/>
                <w:sz w:val="28"/>
                <w:szCs w:val="28"/>
              </w:rPr>
            </w:pPr>
          </w:p>
        </w:tc>
        <w:tc>
          <w:tcPr>
            <w:tcW w:w="258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2</w:t>
            </w:r>
            <w:r>
              <w:rPr>
                <w:rFonts w:hint="eastAsia" w:ascii="仿宋" w:hAnsi="仿宋" w:eastAsia="仿宋" w:cs="仿宋"/>
                <w:b/>
                <w:color w:val="000000"/>
                <w:sz w:val="28"/>
                <w:szCs w:val="28"/>
              </w:rPr>
              <w:t>.申请人逾期未按收费通知要求缴纳费用、行政机关不再处理其政府信息公开申请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hint="eastAsia" w:ascii="仿宋" w:hAnsi="仿宋" w:eastAsia="仿宋" w:cs="仿宋"/>
                <w:b/>
                <w:sz w:val="28"/>
                <w:szCs w:val="28"/>
              </w:rPr>
            </w:pPr>
          </w:p>
        </w:tc>
        <w:tc>
          <w:tcPr>
            <w:tcW w:w="1162" w:type="dxa"/>
            <w:vMerge w:val="continue"/>
            <w:shd w:val="clear" w:color="auto" w:fill="auto"/>
            <w:tcMar>
              <w:left w:w="108" w:type="dxa"/>
              <w:right w:w="108" w:type="dxa"/>
            </w:tcMar>
            <w:vAlign w:val="center"/>
          </w:tcPr>
          <w:p>
            <w:pPr>
              <w:widowControl/>
              <w:spacing w:line="260" w:lineRule="exact"/>
              <w:rPr>
                <w:rFonts w:hint="eastAsia" w:ascii="仿宋" w:hAnsi="仿宋" w:eastAsia="仿宋" w:cs="仿宋"/>
                <w:b/>
                <w:sz w:val="28"/>
                <w:szCs w:val="28"/>
              </w:rPr>
            </w:pPr>
          </w:p>
        </w:tc>
        <w:tc>
          <w:tcPr>
            <w:tcW w:w="2581" w:type="dxa"/>
            <w:shd w:val="clear" w:color="auto" w:fill="auto"/>
            <w:vAlign w:val="center"/>
          </w:tcPr>
          <w:p>
            <w:pPr>
              <w:widowControl/>
              <w:spacing w:line="260" w:lineRule="exact"/>
              <w:rPr>
                <w:rFonts w:hint="eastAsia" w:ascii="仿宋" w:hAnsi="仿宋" w:eastAsia="仿宋" w:cs="仿宋"/>
                <w:b/>
                <w:sz w:val="28"/>
                <w:szCs w:val="28"/>
              </w:rPr>
            </w:pPr>
            <w:r>
              <w:rPr>
                <w:rFonts w:hint="eastAsia" w:ascii="仿宋" w:hAnsi="仿宋" w:eastAsia="仿宋" w:cs="仿宋"/>
                <w:b/>
                <w:sz w:val="28"/>
                <w:szCs w:val="28"/>
              </w:rPr>
              <w:t>3.其他</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p>
        </w:tc>
        <w:tc>
          <w:tcPr>
            <w:tcW w:w="3743"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（七）总计</w:t>
            </w:r>
          </w:p>
        </w:tc>
        <w:tc>
          <w:tcPr>
            <w:tcW w:w="829" w:type="dxa"/>
            <w:shd w:val="clear" w:color="auto" w:fill="auto"/>
            <w:tcMar>
              <w:left w:w="108" w:type="dxa"/>
              <w:right w:w="108" w:type="dxa"/>
            </w:tcMar>
            <w:vAlign w:val="center"/>
          </w:tcPr>
          <w:p>
            <w:pPr>
              <w:widowControl/>
              <w:spacing w:line="260" w:lineRule="exact"/>
              <w:jc w:val="center"/>
              <w:rPr>
                <w:rFonts w:hint="default"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9" w:hRule="atLeast"/>
          <w:jc w:val="center"/>
        </w:trPr>
        <w:tc>
          <w:tcPr>
            <w:tcW w:w="4698"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sz w:val="28"/>
                <w:szCs w:val="28"/>
              </w:rPr>
            </w:pPr>
            <w:r>
              <w:rPr>
                <w:rFonts w:hint="eastAsia" w:ascii="仿宋" w:hAnsi="仿宋" w:eastAsia="仿宋" w:cs="仿宋"/>
                <w:b/>
                <w:sz w:val="28"/>
                <w:szCs w:val="28"/>
              </w:rPr>
              <w:t>四、结转下年度继续办理</w:t>
            </w:r>
          </w:p>
        </w:tc>
        <w:tc>
          <w:tcPr>
            <w:tcW w:w="82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kern w:val="2"/>
                <w:sz w:val="28"/>
                <w:szCs w:val="28"/>
                <w:lang w:val="en-US" w:eastAsia="zh-CN" w:bidi="ar-SA"/>
              </w:rPr>
            </w:pPr>
            <w:r>
              <w:rPr>
                <w:rFonts w:hint="eastAsia" w:ascii="仿宋" w:hAnsi="仿宋" w:eastAsia="仿宋" w:cs="仿宋"/>
                <w:b/>
                <w:sz w:val="28"/>
                <w:szCs w:val="28"/>
                <w:lang w:val="en-US" w:eastAsia="zh-CN"/>
              </w:rPr>
              <w:t>0</w:t>
            </w:r>
          </w:p>
        </w:tc>
      </w:tr>
    </w:tbl>
    <w:p>
      <w:pPr>
        <w:spacing w:line="590" w:lineRule="exact"/>
        <w:ind w:right="-105" w:rightChars="-50" w:firstLine="643" w:firstLineChars="200"/>
        <w:rPr>
          <w:rFonts w:hint="eastAsia" w:ascii="黑体" w:hAnsi="黑体" w:eastAsia="黑体" w:cs="黑体"/>
          <w:b/>
          <w:sz w:val="32"/>
          <w:szCs w:val="32"/>
        </w:rPr>
      </w:pPr>
      <w:r>
        <w:rPr>
          <w:rFonts w:hint="eastAsia" w:ascii="黑体" w:hAnsi="黑体" w:eastAsia="黑体" w:cs="黑体"/>
          <w:b/>
          <w:sz w:val="32"/>
          <w:szCs w:val="32"/>
          <w:lang w:eastAsia="zh-CN"/>
        </w:rPr>
        <w:t>四、</w:t>
      </w:r>
      <w:r>
        <w:rPr>
          <w:rFonts w:hint="eastAsia" w:ascii="黑体" w:hAnsi="黑体" w:eastAsia="黑体" w:cs="黑体"/>
          <w:b/>
          <w:sz w:val="32"/>
          <w:szCs w:val="32"/>
        </w:rPr>
        <w:t>因政府信息公开工作被申请行政复议、提起行政诉讼情况</w:t>
      </w:r>
    </w:p>
    <w:p>
      <w:pPr>
        <w:spacing w:line="240" w:lineRule="exact"/>
        <w:ind w:right="-105" w:rightChars="-50"/>
        <w:jc w:val="center"/>
        <w:rPr>
          <w:rFonts w:hint="eastAsia" w:ascii="仿宋" w:hAnsi="仿宋" w:eastAsia="仿宋" w:cs="仿宋"/>
          <w:b/>
          <w:color w:val="000000"/>
          <w:sz w:val="32"/>
          <w:szCs w:val="32"/>
        </w:rPr>
      </w:pPr>
    </w:p>
    <w:tbl>
      <w:tblPr>
        <w:tblStyle w:val="4"/>
        <w:tblW w:w="88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4"/>
        <w:gridCol w:w="604"/>
        <w:gridCol w:w="604"/>
        <w:gridCol w:w="604"/>
        <w:gridCol w:w="479"/>
        <w:gridCol w:w="550"/>
        <w:gridCol w:w="605"/>
        <w:gridCol w:w="605"/>
        <w:gridCol w:w="605"/>
        <w:gridCol w:w="578"/>
        <w:gridCol w:w="605"/>
        <w:gridCol w:w="605"/>
        <w:gridCol w:w="605"/>
        <w:gridCol w:w="606"/>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1" w:hRule="atLeast"/>
          <w:jc w:val="center"/>
        </w:trPr>
        <w:tc>
          <w:tcPr>
            <w:tcW w:w="2895" w:type="dxa"/>
            <w:gridSpan w:val="5"/>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行政复议</w:t>
            </w:r>
          </w:p>
        </w:tc>
        <w:tc>
          <w:tcPr>
            <w:tcW w:w="5922" w:type="dxa"/>
            <w:gridSpan w:val="10"/>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7" w:hRule="atLeast"/>
          <w:jc w:val="center"/>
        </w:trPr>
        <w:tc>
          <w:tcPr>
            <w:tcW w:w="604" w:type="dxa"/>
            <w:vMerge w:val="restart"/>
            <w:shd w:val="clear" w:color="auto" w:fill="auto"/>
            <w:tcMar>
              <w:left w:w="108" w:type="dxa"/>
              <w:right w:w="108" w:type="dxa"/>
            </w:tcMar>
            <w:vAlign w:val="center"/>
          </w:tcPr>
          <w:p>
            <w:pPr>
              <w:widowControl/>
              <w:spacing w:line="320" w:lineRule="exact"/>
              <w:ind w:left="-149" w:leftChars="-71" w:right="-170" w:rightChars="-81"/>
              <w:jc w:val="center"/>
              <w:rPr>
                <w:rFonts w:hint="eastAsia" w:ascii="仿宋" w:hAnsi="仿宋" w:eastAsia="仿宋" w:cs="仿宋"/>
                <w:b/>
                <w:sz w:val="28"/>
                <w:szCs w:val="28"/>
              </w:rPr>
            </w:pPr>
            <w:r>
              <w:rPr>
                <w:rFonts w:hint="eastAsia" w:ascii="仿宋" w:hAnsi="仿宋" w:eastAsia="仿宋" w:cs="仿宋"/>
                <w:b/>
                <w:sz w:val="28"/>
                <w:szCs w:val="28"/>
              </w:rPr>
              <w:t>结果</w:t>
            </w:r>
          </w:p>
          <w:p>
            <w:pPr>
              <w:widowControl/>
              <w:spacing w:line="320" w:lineRule="exact"/>
              <w:ind w:left="-149" w:leftChars="-71" w:right="-170" w:rightChars="-81"/>
              <w:jc w:val="center"/>
              <w:rPr>
                <w:rFonts w:hint="eastAsia" w:ascii="仿宋" w:hAnsi="仿宋" w:eastAsia="仿宋" w:cs="仿宋"/>
                <w:b/>
                <w:sz w:val="28"/>
                <w:szCs w:val="28"/>
              </w:rPr>
            </w:pPr>
            <w:r>
              <w:rPr>
                <w:rFonts w:hint="eastAsia" w:ascii="仿宋" w:hAnsi="仿宋" w:eastAsia="仿宋" w:cs="仿宋"/>
                <w:b/>
                <w:sz w:val="28"/>
                <w:szCs w:val="28"/>
              </w:rPr>
              <w:t>维持</w:t>
            </w:r>
          </w:p>
        </w:tc>
        <w:tc>
          <w:tcPr>
            <w:tcW w:w="604" w:type="dxa"/>
            <w:vMerge w:val="restart"/>
            <w:shd w:val="clear" w:color="auto" w:fill="auto"/>
            <w:tcMar>
              <w:left w:w="108" w:type="dxa"/>
              <w:right w:w="108" w:type="dxa"/>
            </w:tcMar>
            <w:vAlign w:val="center"/>
          </w:tcPr>
          <w:p>
            <w:pPr>
              <w:widowControl/>
              <w:spacing w:line="320" w:lineRule="exact"/>
              <w:ind w:left="-43" w:leftChars="-21" w:right="-132" w:rightChars="-63" w:hanging="1"/>
              <w:jc w:val="center"/>
              <w:rPr>
                <w:rFonts w:hint="eastAsia" w:ascii="仿宋" w:hAnsi="仿宋" w:eastAsia="仿宋" w:cs="仿宋"/>
                <w:b/>
                <w:sz w:val="28"/>
                <w:szCs w:val="28"/>
              </w:rPr>
            </w:pPr>
            <w:r>
              <w:rPr>
                <w:rFonts w:hint="eastAsia" w:ascii="仿宋" w:hAnsi="仿宋" w:eastAsia="仿宋" w:cs="仿宋"/>
                <w:b/>
                <w:sz w:val="28"/>
                <w:szCs w:val="28"/>
              </w:rPr>
              <w:t>结果纠正</w:t>
            </w:r>
          </w:p>
        </w:tc>
        <w:tc>
          <w:tcPr>
            <w:tcW w:w="604" w:type="dxa"/>
            <w:vMerge w:val="restart"/>
            <w:shd w:val="clear" w:color="auto" w:fill="auto"/>
            <w:tcMar>
              <w:left w:w="108" w:type="dxa"/>
              <w:right w:w="108" w:type="dxa"/>
            </w:tcMar>
            <w:vAlign w:val="center"/>
          </w:tcPr>
          <w:p>
            <w:pPr>
              <w:widowControl/>
              <w:spacing w:line="320" w:lineRule="exact"/>
              <w:ind w:left="-82" w:leftChars="-39" w:right="-97" w:rightChars="-46"/>
              <w:jc w:val="center"/>
              <w:rPr>
                <w:rFonts w:hint="eastAsia" w:ascii="仿宋" w:hAnsi="仿宋" w:eastAsia="仿宋" w:cs="仿宋"/>
                <w:b/>
                <w:sz w:val="28"/>
                <w:szCs w:val="28"/>
              </w:rPr>
            </w:pPr>
            <w:r>
              <w:rPr>
                <w:rFonts w:hint="eastAsia" w:ascii="仿宋" w:hAnsi="仿宋" w:eastAsia="仿宋" w:cs="仿宋"/>
                <w:b/>
                <w:sz w:val="28"/>
                <w:szCs w:val="28"/>
              </w:rPr>
              <w:t>其他结果</w:t>
            </w:r>
          </w:p>
        </w:tc>
        <w:tc>
          <w:tcPr>
            <w:tcW w:w="604" w:type="dxa"/>
            <w:vMerge w:val="restart"/>
            <w:shd w:val="clear" w:color="auto" w:fill="auto"/>
            <w:tcMar>
              <w:left w:w="108" w:type="dxa"/>
              <w:right w:w="108" w:type="dxa"/>
            </w:tcMar>
            <w:vAlign w:val="center"/>
          </w:tcPr>
          <w:p>
            <w:pPr>
              <w:widowControl/>
              <w:spacing w:line="320" w:lineRule="exact"/>
              <w:ind w:left="-118" w:leftChars="-56" w:right="-118" w:rightChars="-56"/>
              <w:jc w:val="center"/>
              <w:rPr>
                <w:rFonts w:hint="eastAsia" w:ascii="仿宋" w:hAnsi="仿宋" w:eastAsia="仿宋" w:cs="仿宋"/>
                <w:b/>
                <w:sz w:val="28"/>
                <w:szCs w:val="28"/>
              </w:rPr>
            </w:pPr>
            <w:r>
              <w:rPr>
                <w:rFonts w:hint="eastAsia" w:ascii="仿宋" w:hAnsi="仿宋" w:eastAsia="仿宋" w:cs="仿宋"/>
                <w:b/>
                <w:sz w:val="28"/>
                <w:szCs w:val="28"/>
              </w:rPr>
              <w:t>尚未</w:t>
            </w:r>
          </w:p>
          <w:p>
            <w:pPr>
              <w:widowControl/>
              <w:spacing w:line="320" w:lineRule="exact"/>
              <w:ind w:left="-118" w:leftChars="-56" w:right="-118" w:rightChars="-56"/>
              <w:jc w:val="center"/>
              <w:rPr>
                <w:rFonts w:hint="eastAsia" w:ascii="仿宋" w:hAnsi="仿宋" w:eastAsia="仿宋" w:cs="仿宋"/>
                <w:b/>
                <w:sz w:val="28"/>
                <w:szCs w:val="28"/>
              </w:rPr>
            </w:pPr>
            <w:r>
              <w:rPr>
                <w:rFonts w:hint="eastAsia" w:ascii="仿宋" w:hAnsi="仿宋" w:eastAsia="仿宋" w:cs="仿宋"/>
                <w:b/>
                <w:sz w:val="28"/>
                <w:szCs w:val="28"/>
              </w:rPr>
              <w:t>审结</w:t>
            </w:r>
          </w:p>
        </w:tc>
        <w:tc>
          <w:tcPr>
            <w:tcW w:w="479" w:type="dxa"/>
            <w:vMerge w:val="restart"/>
            <w:shd w:val="clear" w:color="auto" w:fill="auto"/>
            <w:tcMar>
              <w:left w:w="108" w:type="dxa"/>
              <w:right w:w="108" w:type="dxa"/>
            </w:tcMar>
            <w:vAlign w:val="center"/>
          </w:tcPr>
          <w:p>
            <w:pPr>
              <w:widowControl/>
              <w:spacing w:line="320" w:lineRule="exact"/>
              <w:jc w:val="center"/>
              <w:rPr>
                <w:rFonts w:hint="eastAsia" w:ascii="仿宋" w:hAnsi="仿宋" w:eastAsia="仿宋" w:cs="仿宋"/>
                <w:b/>
                <w:sz w:val="28"/>
                <w:szCs w:val="28"/>
              </w:rPr>
            </w:pPr>
            <w:r>
              <w:rPr>
                <w:rFonts w:hint="eastAsia" w:ascii="仿宋" w:hAnsi="仿宋" w:eastAsia="仿宋" w:cs="仿宋"/>
                <w:b/>
                <w:sz w:val="28"/>
                <w:szCs w:val="28"/>
              </w:rPr>
              <w:t>总</w:t>
            </w:r>
          </w:p>
          <w:p>
            <w:pPr>
              <w:widowControl/>
              <w:spacing w:line="320" w:lineRule="exact"/>
              <w:jc w:val="center"/>
              <w:rPr>
                <w:rFonts w:hint="eastAsia" w:ascii="仿宋" w:hAnsi="仿宋" w:eastAsia="仿宋" w:cs="仿宋"/>
                <w:b/>
                <w:sz w:val="28"/>
                <w:szCs w:val="28"/>
              </w:rPr>
            </w:pPr>
            <w:r>
              <w:rPr>
                <w:rFonts w:hint="eastAsia" w:ascii="仿宋" w:hAnsi="仿宋" w:eastAsia="仿宋" w:cs="仿宋"/>
                <w:b/>
                <w:sz w:val="28"/>
                <w:szCs w:val="28"/>
              </w:rPr>
              <w:t>计</w:t>
            </w:r>
          </w:p>
        </w:tc>
        <w:tc>
          <w:tcPr>
            <w:tcW w:w="2943" w:type="dxa"/>
            <w:gridSpan w:val="5"/>
            <w:shd w:val="clear" w:color="auto" w:fill="auto"/>
            <w:tcMar>
              <w:left w:w="108" w:type="dxa"/>
              <w:right w:w="108" w:type="dxa"/>
            </w:tcMar>
            <w:vAlign w:val="center"/>
          </w:tcPr>
          <w:p>
            <w:pPr>
              <w:widowControl/>
              <w:spacing w:line="320" w:lineRule="exact"/>
              <w:jc w:val="center"/>
              <w:rPr>
                <w:rFonts w:hint="eastAsia" w:ascii="仿宋" w:hAnsi="仿宋" w:eastAsia="仿宋" w:cs="仿宋"/>
                <w:b/>
                <w:sz w:val="28"/>
                <w:szCs w:val="28"/>
              </w:rPr>
            </w:pPr>
            <w:r>
              <w:rPr>
                <w:rFonts w:hint="eastAsia" w:ascii="仿宋" w:hAnsi="仿宋" w:eastAsia="仿宋" w:cs="仿宋"/>
                <w:b/>
                <w:sz w:val="28"/>
                <w:szCs w:val="28"/>
              </w:rPr>
              <w:t>未经复议直接起诉</w:t>
            </w:r>
          </w:p>
        </w:tc>
        <w:tc>
          <w:tcPr>
            <w:tcW w:w="2979" w:type="dxa"/>
            <w:gridSpan w:val="5"/>
            <w:shd w:val="clear" w:color="auto" w:fill="auto"/>
            <w:tcMar>
              <w:left w:w="108" w:type="dxa"/>
              <w:right w:w="108" w:type="dxa"/>
            </w:tcMar>
            <w:vAlign w:val="center"/>
          </w:tcPr>
          <w:p>
            <w:pPr>
              <w:widowControl/>
              <w:spacing w:line="320" w:lineRule="exact"/>
              <w:jc w:val="center"/>
              <w:rPr>
                <w:rFonts w:hint="eastAsia" w:ascii="仿宋" w:hAnsi="仿宋" w:eastAsia="仿宋" w:cs="仿宋"/>
                <w:b/>
                <w:sz w:val="28"/>
                <w:szCs w:val="28"/>
              </w:rPr>
            </w:pPr>
            <w:r>
              <w:rPr>
                <w:rFonts w:hint="eastAsia" w:ascii="仿宋" w:hAnsi="仿宋" w:eastAsia="仿宋" w:cs="仿宋"/>
                <w:b/>
                <w:sz w:val="28"/>
                <w:szCs w:val="28"/>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6" w:hRule="atLeast"/>
          <w:jc w:val="center"/>
        </w:trPr>
        <w:tc>
          <w:tcPr>
            <w:tcW w:w="604" w:type="dxa"/>
            <w:vMerge w:val="continue"/>
            <w:shd w:val="clear" w:color="auto" w:fill="auto"/>
            <w:tcMar>
              <w:left w:w="108" w:type="dxa"/>
              <w:right w:w="108" w:type="dxa"/>
            </w:tcMar>
            <w:vAlign w:val="center"/>
          </w:tcPr>
          <w:p>
            <w:pPr>
              <w:spacing w:line="320" w:lineRule="exact"/>
              <w:rPr>
                <w:rFonts w:hint="eastAsia" w:ascii="仿宋" w:hAnsi="仿宋" w:eastAsia="仿宋" w:cs="仿宋"/>
                <w:b/>
                <w:sz w:val="28"/>
                <w:szCs w:val="28"/>
              </w:rPr>
            </w:pPr>
          </w:p>
        </w:tc>
        <w:tc>
          <w:tcPr>
            <w:tcW w:w="604" w:type="dxa"/>
            <w:vMerge w:val="continue"/>
            <w:shd w:val="clear" w:color="auto" w:fill="auto"/>
            <w:tcMar>
              <w:left w:w="108" w:type="dxa"/>
              <w:right w:w="108" w:type="dxa"/>
            </w:tcMar>
            <w:vAlign w:val="center"/>
          </w:tcPr>
          <w:p>
            <w:pPr>
              <w:spacing w:line="320" w:lineRule="exact"/>
              <w:rPr>
                <w:rFonts w:hint="eastAsia" w:ascii="仿宋" w:hAnsi="仿宋" w:eastAsia="仿宋" w:cs="仿宋"/>
                <w:b/>
                <w:sz w:val="28"/>
                <w:szCs w:val="28"/>
              </w:rPr>
            </w:pPr>
          </w:p>
        </w:tc>
        <w:tc>
          <w:tcPr>
            <w:tcW w:w="604" w:type="dxa"/>
            <w:vMerge w:val="continue"/>
            <w:shd w:val="clear" w:color="auto" w:fill="auto"/>
            <w:tcMar>
              <w:left w:w="108" w:type="dxa"/>
              <w:right w:w="108" w:type="dxa"/>
            </w:tcMar>
            <w:vAlign w:val="center"/>
          </w:tcPr>
          <w:p>
            <w:pPr>
              <w:spacing w:line="320" w:lineRule="exact"/>
              <w:rPr>
                <w:rFonts w:hint="eastAsia" w:ascii="仿宋" w:hAnsi="仿宋" w:eastAsia="仿宋" w:cs="仿宋"/>
                <w:b/>
                <w:sz w:val="28"/>
                <w:szCs w:val="28"/>
              </w:rPr>
            </w:pPr>
          </w:p>
        </w:tc>
        <w:tc>
          <w:tcPr>
            <w:tcW w:w="604" w:type="dxa"/>
            <w:vMerge w:val="continue"/>
            <w:shd w:val="clear" w:color="auto" w:fill="auto"/>
            <w:tcMar>
              <w:left w:w="108" w:type="dxa"/>
              <w:right w:w="108" w:type="dxa"/>
            </w:tcMar>
            <w:vAlign w:val="center"/>
          </w:tcPr>
          <w:p>
            <w:pPr>
              <w:spacing w:line="320" w:lineRule="exact"/>
              <w:rPr>
                <w:rFonts w:hint="eastAsia" w:ascii="仿宋" w:hAnsi="仿宋" w:eastAsia="仿宋" w:cs="仿宋"/>
                <w:b/>
                <w:sz w:val="28"/>
                <w:szCs w:val="28"/>
              </w:rPr>
            </w:pPr>
          </w:p>
        </w:tc>
        <w:tc>
          <w:tcPr>
            <w:tcW w:w="479" w:type="dxa"/>
            <w:vMerge w:val="continue"/>
            <w:shd w:val="clear" w:color="auto" w:fill="auto"/>
            <w:tcMar>
              <w:left w:w="108" w:type="dxa"/>
              <w:right w:w="108" w:type="dxa"/>
            </w:tcMar>
            <w:vAlign w:val="center"/>
          </w:tcPr>
          <w:p>
            <w:pPr>
              <w:spacing w:line="320" w:lineRule="exact"/>
              <w:rPr>
                <w:rFonts w:hint="eastAsia" w:ascii="仿宋" w:hAnsi="仿宋" w:eastAsia="仿宋" w:cs="仿宋"/>
                <w:b/>
                <w:sz w:val="28"/>
                <w:szCs w:val="28"/>
              </w:rPr>
            </w:pPr>
          </w:p>
        </w:tc>
        <w:tc>
          <w:tcPr>
            <w:tcW w:w="550" w:type="dxa"/>
            <w:shd w:val="clear" w:color="auto" w:fill="auto"/>
            <w:tcMar>
              <w:left w:w="108" w:type="dxa"/>
              <w:right w:w="108" w:type="dxa"/>
            </w:tcMar>
            <w:vAlign w:val="center"/>
          </w:tcPr>
          <w:p>
            <w:pPr>
              <w:widowControl/>
              <w:spacing w:line="320" w:lineRule="exact"/>
              <w:ind w:left="-105" w:leftChars="-50" w:right="-126" w:rightChars="-60"/>
              <w:jc w:val="center"/>
              <w:rPr>
                <w:rFonts w:hint="eastAsia" w:ascii="仿宋" w:hAnsi="仿宋" w:eastAsia="仿宋" w:cs="仿宋"/>
                <w:b/>
                <w:sz w:val="28"/>
                <w:szCs w:val="28"/>
              </w:rPr>
            </w:pPr>
            <w:r>
              <w:rPr>
                <w:rFonts w:hint="eastAsia" w:ascii="仿宋" w:hAnsi="仿宋" w:eastAsia="仿宋" w:cs="仿宋"/>
                <w:b/>
                <w:sz w:val="28"/>
                <w:szCs w:val="28"/>
              </w:rPr>
              <w:t>结果维持</w:t>
            </w:r>
          </w:p>
        </w:tc>
        <w:tc>
          <w:tcPr>
            <w:tcW w:w="605" w:type="dxa"/>
            <w:shd w:val="clear" w:color="auto" w:fill="auto"/>
            <w:tcMar>
              <w:left w:w="108" w:type="dxa"/>
              <w:right w:w="108" w:type="dxa"/>
            </w:tcMar>
            <w:vAlign w:val="center"/>
          </w:tcPr>
          <w:p>
            <w:pPr>
              <w:widowControl/>
              <w:spacing w:line="320" w:lineRule="exact"/>
              <w:ind w:left="-86" w:leftChars="-41" w:right="-88" w:rightChars="-42"/>
              <w:jc w:val="center"/>
              <w:rPr>
                <w:rFonts w:hint="eastAsia" w:ascii="仿宋" w:hAnsi="仿宋" w:eastAsia="仿宋" w:cs="仿宋"/>
                <w:b/>
                <w:sz w:val="28"/>
                <w:szCs w:val="28"/>
              </w:rPr>
            </w:pPr>
            <w:r>
              <w:rPr>
                <w:rFonts w:hint="eastAsia" w:ascii="仿宋" w:hAnsi="仿宋" w:eastAsia="仿宋" w:cs="仿宋"/>
                <w:b/>
                <w:sz w:val="28"/>
                <w:szCs w:val="28"/>
              </w:rPr>
              <w:t>结果纠正</w:t>
            </w:r>
          </w:p>
        </w:tc>
        <w:tc>
          <w:tcPr>
            <w:tcW w:w="605" w:type="dxa"/>
            <w:shd w:val="clear" w:color="auto" w:fill="auto"/>
            <w:tcMar>
              <w:left w:w="108" w:type="dxa"/>
              <w:right w:w="108" w:type="dxa"/>
            </w:tcMar>
            <w:vAlign w:val="center"/>
          </w:tcPr>
          <w:p>
            <w:pPr>
              <w:widowControl/>
              <w:spacing w:line="320" w:lineRule="exact"/>
              <w:ind w:left="-126" w:leftChars="-60" w:right="-136" w:rightChars="-65"/>
              <w:jc w:val="center"/>
              <w:rPr>
                <w:rFonts w:hint="eastAsia" w:ascii="仿宋" w:hAnsi="仿宋" w:eastAsia="仿宋" w:cs="仿宋"/>
                <w:b/>
                <w:sz w:val="28"/>
                <w:szCs w:val="28"/>
              </w:rPr>
            </w:pPr>
            <w:r>
              <w:rPr>
                <w:rFonts w:hint="eastAsia" w:ascii="仿宋" w:hAnsi="仿宋" w:eastAsia="仿宋" w:cs="仿宋"/>
                <w:b/>
                <w:sz w:val="28"/>
                <w:szCs w:val="28"/>
              </w:rPr>
              <w:t>其他</w:t>
            </w:r>
          </w:p>
          <w:p>
            <w:pPr>
              <w:widowControl/>
              <w:spacing w:line="320" w:lineRule="exact"/>
              <w:ind w:left="-126" w:leftChars="-60" w:right="-136" w:rightChars="-65"/>
              <w:jc w:val="center"/>
              <w:rPr>
                <w:rFonts w:hint="eastAsia" w:ascii="仿宋" w:hAnsi="仿宋" w:eastAsia="仿宋" w:cs="仿宋"/>
                <w:b/>
                <w:sz w:val="28"/>
                <w:szCs w:val="28"/>
              </w:rPr>
            </w:pPr>
            <w:r>
              <w:rPr>
                <w:rFonts w:hint="eastAsia" w:ascii="仿宋" w:hAnsi="仿宋" w:eastAsia="仿宋" w:cs="仿宋"/>
                <w:b/>
                <w:sz w:val="28"/>
                <w:szCs w:val="28"/>
              </w:rPr>
              <w:t>结果</w:t>
            </w:r>
          </w:p>
        </w:tc>
        <w:tc>
          <w:tcPr>
            <w:tcW w:w="605" w:type="dxa"/>
            <w:shd w:val="clear" w:color="auto" w:fill="auto"/>
            <w:tcMar>
              <w:left w:w="108" w:type="dxa"/>
              <w:right w:w="108" w:type="dxa"/>
            </w:tcMar>
            <w:vAlign w:val="center"/>
          </w:tcPr>
          <w:p>
            <w:pPr>
              <w:widowControl/>
              <w:spacing w:line="320" w:lineRule="exact"/>
              <w:ind w:left="-164" w:leftChars="-78" w:right="-153" w:rightChars="-73"/>
              <w:jc w:val="center"/>
              <w:rPr>
                <w:rFonts w:hint="eastAsia" w:ascii="仿宋" w:hAnsi="仿宋" w:eastAsia="仿宋" w:cs="仿宋"/>
                <w:b/>
                <w:sz w:val="28"/>
                <w:szCs w:val="28"/>
              </w:rPr>
            </w:pPr>
            <w:r>
              <w:rPr>
                <w:rFonts w:hint="eastAsia" w:ascii="仿宋" w:hAnsi="仿宋" w:eastAsia="仿宋" w:cs="仿宋"/>
                <w:b/>
                <w:sz w:val="28"/>
                <w:szCs w:val="28"/>
              </w:rPr>
              <w:t>尚未</w:t>
            </w:r>
          </w:p>
          <w:p>
            <w:pPr>
              <w:widowControl/>
              <w:spacing w:line="320" w:lineRule="exact"/>
              <w:ind w:left="-164" w:leftChars="-78" w:right="-153" w:rightChars="-73"/>
              <w:jc w:val="center"/>
              <w:rPr>
                <w:rFonts w:hint="eastAsia" w:ascii="仿宋" w:hAnsi="仿宋" w:eastAsia="仿宋" w:cs="仿宋"/>
                <w:b/>
                <w:sz w:val="28"/>
                <w:szCs w:val="28"/>
              </w:rPr>
            </w:pPr>
            <w:r>
              <w:rPr>
                <w:rFonts w:hint="eastAsia" w:ascii="仿宋" w:hAnsi="仿宋" w:eastAsia="仿宋" w:cs="仿宋"/>
                <w:b/>
                <w:sz w:val="28"/>
                <w:szCs w:val="28"/>
              </w:rPr>
              <w:t>审结</w:t>
            </w:r>
          </w:p>
        </w:tc>
        <w:tc>
          <w:tcPr>
            <w:tcW w:w="578" w:type="dxa"/>
            <w:shd w:val="clear" w:color="auto" w:fill="auto"/>
            <w:tcMar>
              <w:left w:w="108" w:type="dxa"/>
              <w:right w:w="108" w:type="dxa"/>
            </w:tcMar>
            <w:vAlign w:val="center"/>
          </w:tcPr>
          <w:p>
            <w:pPr>
              <w:widowControl/>
              <w:spacing w:line="320" w:lineRule="exact"/>
              <w:jc w:val="center"/>
              <w:rPr>
                <w:rFonts w:hint="eastAsia" w:ascii="仿宋" w:hAnsi="仿宋" w:eastAsia="仿宋" w:cs="仿宋"/>
                <w:b/>
                <w:sz w:val="28"/>
                <w:szCs w:val="28"/>
              </w:rPr>
            </w:pPr>
            <w:r>
              <w:rPr>
                <w:rFonts w:hint="eastAsia" w:ascii="仿宋" w:hAnsi="仿宋" w:eastAsia="仿宋" w:cs="仿宋"/>
                <w:b/>
                <w:sz w:val="28"/>
                <w:szCs w:val="28"/>
              </w:rPr>
              <w:t>总计</w:t>
            </w:r>
          </w:p>
        </w:tc>
        <w:tc>
          <w:tcPr>
            <w:tcW w:w="605" w:type="dxa"/>
            <w:shd w:val="clear" w:color="auto" w:fill="auto"/>
            <w:tcMar>
              <w:left w:w="108" w:type="dxa"/>
              <w:right w:w="108" w:type="dxa"/>
            </w:tcMar>
            <w:vAlign w:val="center"/>
          </w:tcPr>
          <w:p>
            <w:pPr>
              <w:widowControl/>
              <w:spacing w:line="320" w:lineRule="exact"/>
              <w:ind w:left="-99" w:leftChars="-47" w:right="-78" w:rightChars="-37"/>
              <w:jc w:val="center"/>
              <w:rPr>
                <w:rFonts w:hint="eastAsia" w:ascii="仿宋" w:hAnsi="仿宋" w:eastAsia="仿宋" w:cs="仿宋"/>
                <w:b/>
                <w:sz w:val="28"/>
                <w:szCs w:val="28"/>
              </w:rPr>
            </w:pPr>
            <w:r>
              <w:rPr>
                <w:rFonts w:hint="eastAsia" w:ascii="仿宋" w:hAnsi="仿宋" w:eastAsia="仿宋" w:cs="仿宋"/>
                <w:b/>
                <w:sz w:val="28"/>
                <w:szCs w:val="28"/>
              </w:rPr>
              <w:t>结果维持</w:t>
            </w:r>
          </w:p>
        </w:tc>
        <w:tc>
          <w:tcPr>
            <w:tcW w:w="605" w:type="dxa"/>
            <w:shd w:val="clear" w:color="auto" w:fill="auto"/>
            <w:tcMar>
              <w:left w:w="108" w:type="dxa"/>
              <w:right w:w="108" w:type="dxa"/>
            </w:tcMar>
            <w:vAlign w:val="center"/>
          </w:tcPr>
          <w:p>
            <w:pPr>
              <w:widowControl/>
              <w:spacing w:line="320" w:lineRule="exact"/>
              <w:ind w:left="-136" w:leftChars="-65" w:right="-124" w:rightChars="-59"/>
              <w:jc w:val="center"/>
              <w:rPr>
                <w:rFonts w:hint="eastAsia" w:ascii="仿宋" w:hAnsi="仿宋" w:eastAsia="仿宋" w:cs="仿宋"/>
                <w:b/>
                <w:sz w:val="28"/>
                <w:szCs w:val="28"/>
              </w:rPr>
            </w:pPr>
            <w:r>
              <w:rPr>
                <w:rFonts w:hint="eastAsia" w:ascii="仿宋" w:hAnsi="仿宋" w:eastAsia="仿宋" w:cs="仿宋"/>
                <w:b/>
                <w:sz w:val="28"/>
                <w:szCs w:val="28"/>
              </w:rPr>
              <w:t>结果</w:t>
            </w:r>
          </w:p>
          <w:p>
            <w:pPr>
              <w:widowControl/>
              <w:spacing w:line="320" w:lineRule="exact"/>
              <w:ind w:left="-136" w:leftChars="-65" w:right="-124" w:rightChars="-59"/>
              <w:jc w:val="center"/>
              <w:rPr>
                <w:rFonts w:hint="eastAsia" w:ascii="仿宋" w:hAnsi="仿宋" w:eastAsia="仿宋" w:cs="仿宋"/>
                <w:b/>
                <w:sz w:val="28"/>
                <w:szCs w:val="28"/>
              </w:rPr>
            </w:pPr>
            <w:r>
              <w:rPr>
                <w:rFonts w:hint="eastAsia" w:ascii="仿宋" w:hAnsi="仿宋" w:eastAsia="仿宋" w:cs="仿宋"/>
                <w:b/>
                <w:sz w:val="28"/>
                <w:szCs w:val="28"/>
              </w:rPr>
              <w:t>纠正</w:t>
            </w:r>
          </w:p>
        </w:tc>
        <w:tc>
          <w:tcPr>
            <w:tcW w:w="605" w:type="dxa"/>
            <w:shd w:val="clear" w:color="auto" w:fill="auto"/>
            <w:tcMar>
              <w:left w:w="108" w:type="dxa"/>
              <w:right w:w="108" w:type="dxa"/>
            </w:tcMar>
            <w:vAlign w:val="center"/>
          </w:tcPr>
          <w:p>
            <w:pPr>
              <w:widowControl/>
              <w:spacing w:line="320" w:lineRule="exact"/>
              <w:ind w:left="-173" w:leftChars="-83" w:right="-134" w:rightChars="-64" w:hanging="1"/>
              <w:jc w:val="center"/>
              <w:rPr>
                <w:rFonts w:hint="eastAsia" w:ascii="仿宋" w:hAnsi="仿宋" w:eastAsia="仿宋" w:cs="仿宋"/>
                <w:b/>
                <w:sz w:val="28"/>
                <w:szCs w:val="28"/>
              </w:rPr>
            </w:pPr>
            <w:r>
              <w:rPr>
                <w:rFonts w:hint="eastAsia" w:ascii="仿宋" w:hAnsi="仿宋" w:eastAsia="仿宋" w:cs="仿宋"/>
                <w:b/>
                <w:sz w:val="28"/>
                <w:szCs w:val="28"/>
              </w:rPr>
              <w:t>其他</w:t>
            </w:r>
          </w:p>
          <w:p>
            <w:pPr>
              <w:widowControl/>
              <w:spacing w:line="320" w:lineRule="exact"/>
              <w:ind w:left="-173" w:leftChars="-83" w:right="-134" w:rightChars="-64" w:hanging="1"/>
              <w:jc w:val="center"/>
              <w:rPr>
                <w:rFonts w:hint="eastAsia" w:ascii="仿宋" w:hAnsi="仿宋" w:eastAsia="仿宋" w:cs="仿宋"/>
                <w:b/>
                <w:sz w:val="28"/>
                <w:szCs w:val="28"/>
              </w:rPr>
            </w:pPr>
            <w:r>
              <w:rPr>
                <w:rFonts w:hint="eastAsia" w:ascii="仿宋" w:hAnsi="仿宋" w:eastAsia="仿宋" w:cs="仿宋"/>
                <w:b/>
                <w:sz w:val="28"/>
                <w:szCs w:val="28"/>
              </w:rPr>
              <w:t>结果</w:t>
            </w:r>
          </w:p>
        </w:tc>
        <w:tc>
          <w:tcPr>
            <w:tcW w:w="606" w:type="dxa"/>
            <w:shd w:val="clear" w:color="auto" w:fill="auto"/>
            <w:tcMar>
              <w:left w:w="108" w:type="dxa"/>
              <w:right w:w="108" w:type="dxa"/>
            </w:tcMar>
            <w:vAlign w:val="center"/>
          </w:tcPr>
          <w:p>
            <w:pPr>
              <w:widowControl/>
              <w:spacing w:line="320" w:lineRule="exact"/>
              <w:ind w:left="-66" w:leftChars="-33" w:right="-105" w:rightChars="-50" w:hanging="3" w:hangingChars="1"/>
              <w:jc w:val="center"/>
              <w:rPr>
                <w:rFonts w:hint="eastAsia" w:ascii="仿宋" w:hAnsi="仿宋" w:eastAsia="仿宋" w:cs="仿宋"/>
                <w:b/>
                <w:sz w:val="28"/>
                <w:szCs w:val="28"/>
              </w:rPr>
            </w:pPr>
            <w:r>
              <w:rPr>
                <w:rFonts w:hint="eastAsia" w:ascii="仿宋" w:hAnsi="仿宋" w:eastAsia="仿宋" w:cs="仿宋"/>
                <w:b/>
                <w:sz w:val="28"/>
                <w:szCs w:val="28"/>
              </w:rPr>
              <w:t>尚未审结</w:t>
            </w:r>
          </w:p>
        </w:tc>
        <w:tc>
          <w:tcPr>
            <w:tcW w:w="558" w:type="dxa"/>
            <w:shd w:val="clear" w:color="auto" w:fill="auto"/>
            <w:tcMar>
              <w:left w:w="108" w:type="dxa"/>
              <w:right w:w="108" w:type="dxa"/>
            </w:tcMar>
            <w:vAlign w:val="center"/>
          </w:tcPr>
          <w:p>
            <w:pPr>
              <w:widowControl/>
              <w:spacing w:line="320" w:lineRule="exact"/>
              <w:jc w:val="center"/>
              <w:rPr>
                <w:rFonts w:hint="eastAsia" w:ascii="仿宋" w:hAnsi="仿宋" w:eastAsia="仿宋" w:cs="仿宋"/>
                <w:b/>
                <w:sz w:val="28"/>
                <w:szCs w:val="28"/>
              </w:rPr>
            </w:pPr>
            <w:r>
              <w:rPr>
                <w:rFonts w:hint="eastAsia" w:ascii="仿宋" w:hAnsi="仿宋" w:eastAsia="仿宋" w:cs="仿宋"/>
                <w:b/>
                <w:sz w:val="28"/>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04"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32"/>
                <w:szCs w:val="32"/>
              </w:rPr>
            </w:pPr>
            <w:r>
              <w:rPr>
                <w:rFonts w:hint="eastAsia" w:ascii="仿宋" w:hAnsi="仿宋" w:eastAsia="仿宋" w:cs="仿宋"/>
                <w:b/>
                <w:sz w:val="28"/>
                <w:szCs w:val="28"/>
                <w:lang w:val="en-US" w:eastAsia="zh-CN"/>
              </w:rPr>
              <w:t>0</w:t>
            </w:r>
          </w:p>
        </w:tc>
        <w:tc>
          <w:tcPr>
            <w:tcW w:w="604"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32"/>
                <w:szCs w:val="32"/>
              </w:rPr>
            </w:pPr>
            <w:r>
              <w:rPr>
                <w:rFonts w:hint="eastAsia" w:ascii="仿宋" w:hAnsi="仿宋" w:eastAsia="仿宋" w:cs="仿宋"/>
                <w:b/>
                <w:sz w:val="28"/>
                <w:szCs w:val="28"/>
                <w:lang w:val="en-US" w:eastAsia="zh-CN"/>
              </w:rPr>
              <w:t>0</w:t>
            </w:r>
          </w:p>
        </w:tc>
        <w:tc>
          <w:tcPr>
            <w:tcW w:w="604"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32"/>
                <w:szCs w:val="32"/>
              </w:rPr>
            </w:pPr>
            <w:r>
              <w:rPr>
                <w:rFonts w:hint="eastAsia" w:ascii="仿宋" w:hAnsi="仿宋" w:eastAsia="仿宋" w:cs="仿宋"/>
                <w:b/>
                <w:sz w:val="28"/>
                <w:szCs w:val="28"/>
                <w:lang w:val="en-US" w:eastAsia="zh-CN"/>
              </w:rPr>
              <w:t>0</w:t>
            </w:r>
          </w:p>
        </w:tc>
        <w:tc>
          <w:tcPr>
            <w:tcW w:w="604"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32"/>
                <w:szCs w:val="32"/>
              </w:rPr>
            </w:pPr>
            <w:r>
              <w:rPr>
                <w:rFonts w:hint="eastAsia" w:ascii="仿宋" w:hAnsi="仿宋" w:eastAsia="仿宋" w:cs="仿宋"/>
                <w:b/>
                <w:sz w:val="28"/>
                <w:szCs w:val="28"/>
                <w:lang w:val="en-US" w:eastAsia="zh-CN"/>
              </w:rPr>
              <w:t>0</w:t>
            </w:r>
          </w:p>
        </w:tc>
        <w:tc>
          <w:tcPr>
            <w:tcW w:w="47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32"/>
                <w:szCs w:val="32"/>
              </w:rPr>
            </w:pPr>
            <w:r>
              <w:rPr>
                <w:rFonts w:hint="eastAsia" w:ascii="仿宋" w:hAnsi="仿宋" w:eastAsia="仿宋" w:cs="仿宋"/>
                <w:b/>
                <w:sz w:val="28"/>
                <w:szCs w:val="28"/>
                <w:lang w:val="en-US" w:eastAsia="zh-CN"/>
              </w:rPr>
              <w:t>0</w:t>
            </w:r>
          </w:p>
        </w:tc>
        <w:tc>
          <w:tcPr>
            <w:tcW w:w="550"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32"/>
                <w:szCs w:val="32"/>
              </w:rPr>
            </w:pPr>
            <w:r>
              <w:rPr>
                <w:rFonts w:hint="eastAsia" w:ascii="仿宋" w:hAnsi="仿宋" w:eastAsia="仿宋" w:cs="仿宋"/>
                <w:b/>
                <w:sz w:val="28"/>
                <w:szCs w:val="28"/>
                <w:lang w:val="en-US" w:eastAsia="zh-CN"/>
              </w:rPr>
              <w:t>0</w:t>
            </w:r>
          </w:p>
        </w:tc>
        <w:tc>
          <w:tcPr>
            <w:tcW w:w="605"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32"/>
                <w:szCs w:val="32"/>
              </w:rPr>
            </w:pPr>
            <w:r>
              <w:rPr>
                <w:rFonts w:hint="eastAsia" w:ascii="仿宋" w:hAnsi="仿宋" w:eastAsia="仿宋" w:cs="仿宋"/>
                <w:b/>
                <w:sz w:val="28"/>
                <w:szCs w:val="28"/>
                <w:lang w:val="en-US" w:eastAsia="zh-CN"/>
              </w:rPr>
              <w:t>0</w:t>
            </w:r>
          </w:p>
        </w:tc>
        <w:tc>
          <w:tcPr>
            <w:tcW w:w="605"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32"/>
                <w:szCs w:val="32"/>
              </w:rPr>
            </w:pPr>
            <w:r>
              <w:rPr>
                <w:rFonts w:hint="eastAsia" w:ascii="仿宋" w:hAnsi="仿宋" w:eastAsia="仿宋" w:cs="仿宋"/>
                <w:b/>
                <w:sz w:val="28"/>
                <w:szCs w:val="28"/>
                <w:lang w:val="en-US" w:eastAsia="zh-CN"/>
              </w:rPr>
              <w:t>0</w:t>
            </w:r>
          </w:p>
        </w:tc>
        <w:tc>
          <w:tcPr>
            <w:tcW w:w="605"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32"/>
                <w:szCs w:val="32"/>
              </w:rPr>
            </w:pPr>
            <w:r>
              <w:rPr>
                <w:rFonts w:hint="eastAsia" w:ascii="仿宋" w:hAnsi="仿宋" w:eastAsia="仿宋" w:cs="仿宋"/>
                <w:b/>
                <w:sz w:val="28"/>
                <w:szCs w:val="28"/>
                <w:lang w:val="en-US" w:eastAsia="zh-CN"/>
              </w:rPr>
              <w:t>0</w:t>
            </w:r>
          </w:p>
        </w:tc>
        <w:tc>
          <w:tcPr>
            <w:tcW w:w="578"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32"/>
                <w:szCs w:val="32"/>
              </w:rPr>
            </w:pPr>
            <w:r>
              <w:rPr>
                <w:rFonts w:hint="eastAsia" w:ascii="仿宋" w:hAnsi="仿宋" w:eastAsia="仿宋" w:cs="仿宋"/>
                <w:b/>
                <w:sz w:val="28"/>
                <w:szCs w:val="28"/>
                <w:lang w:val="en-US" w:eastAsia="zh-CN"/>
              </w:rPr>
              <w:t>0</w:t>
            </w:r>
          </w:p>
        </w:tc>
        <w:tc>
          <w:tcPr>
            <w:tcW w:w="605"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32"/>
                <w:szCs w:val="32"/>
              </w:rPr>
            </w:pPr>
            <w:r>
              <w:rPr>
                <w:rFonts w:hint="eastAsia" w:ascii="仿宋" w:hAnsi="仿宋" w:eastAsia="仿宋" w:cs="仿宋"/>
                <w:b/>
                <w:sz w:val="28"/>
                <w:szCs w:val="28"/>
                <w:lang w:val="en-US" w:eastAsia="zh-CN"/>
              </w:rPr>
              <w:t>0</w:t>
            </w:r>
          </w:p>
        </w:tc>
        <w:tc>
          <w:tcPr>
            <w:tcW w:w="605"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32"/>
                <w:szCs w:val="32"/>
              </w:rPr>
            </w:pPr>
            <w:r>
              <w:rPr>
                <w:rFonts w:hint="eastAsia" w:ascii="仿宋" w:hAnsi="仿宋" w:eastAsia="仿宋" w:cs="仿宋"/>
                <w:b/>
                <w:sz w:val="28"/>
                <w:szCs w:val="28"/>
                <w:lang w:val="en-US" w:eastAsia="zh-CN"/>
              </w:rPr>
              <w:t>0</w:t>
            </w:r>
          </w:p>
        </w:tc>
        <w:tc>
          <w:tcPr>
            <w:tcW w:w="605"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32"/>
                <w:szCs w:val="32"/>
              </w:rPr>
            </w:pPr>
            <w:r>
              <w:rPr>
                <w:rFonts w:hint="eastAsia" w:ascii="仿宋" w:hAnsi="仿宋" w:eastAsia="仿宋" w:cs="仿宋"/>
                <w:b/>
                <w:sz w:val="28"/>
                <w:szCs w:val="28"/>
                <w:lang w:val="en-US" w:eastAsia="zh-CN"/>
              </w:rPr>
              <w:t>0</w:t>
            </w:r>
          </w:p>
        </w:tc>
        <w:tc>
          <w:tcPr>
            <w:tcW w:w="606"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sz w:val="32"/>
                <w:szCs w:val="32"/>
              </w:rPr>
            </w:pPr>
            <w:r>
              <w:rPr>
                <w:rFonts w:hint="eastAsia" w:ascii="仿宋" w:hAnsi="仿宋" w:eastAsia="仿宋" w:cs="仿宋"/>
                <w:b/>
                <w:sz w:val="28"/>
                <w:szCs w:val="28"/>
                <w:lang w:val="en-US" w:eastAsia="zh-CN"/>
              </w:rPr>
              <w:t>0</w:t>
            </w:r>
          </w:p>
        </w:tc>
        <w:tc>
          <w:tcPr>
            <w:tcW w:w="558" w:type="dxa"/>
            <w:shd w:val="clear" w:color="auto" w:fill="auto"/>
            <w:tcMar>
              <w:left w:w="108" w:type="dxa"/>
              <w:right w:w="108" w:type="dxa"/>
            </w:tcMar>
            <w:vAlign w:val="center"/>
          </w:tcPr>
          <w:p>
            <w:pPr>
              <w:widowControl/>
              <w:spacing w:after="180" w:line="320" w:lineRule="exact"/>
              <w:jc w:val="cente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0</w:t>
            </w:r>
          </w:p>
        </w:tc>
      </w:tr>
    </w:tbl>
    <w:p>
      <w:pPr>
        <w:keepNext w:val="0"/>
        <w:keepLines w:val="0"/>
        <w:pageBreakBefore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 w:hAnsi="仿宋" w:eastAsia="仿宋" w:cs="仿宋"/>
          <w:b/>
          <w:sz w:val="32"/>
          <w:szCs w:val="32"/>
        </w:rPr>
      </w:pPr>
      <w:r>
        <w:rPr>
          <w:rFonts w:hint="eastAsia" w:ascii="黑体" w:hAnsi="黑体" w:eastAsia="黑体" w:cs="黑体"/>
          <w:b/>
          <w:sz w:val="32"/>
          <w:szCs w:val="32"/>
        </w:rPr>
        <w:t>五、存在的主要问题及改进情况</w:t>
      </w:r>
    </w:p>
    <w:p>
      <w:pPr>
        <w:keepNext w:val="0"/>
        <w:keepLines w:val="0"/>
        <w:pageBreakBefore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 w:hAnsi="仿宋" w:eastAsia="仿宋" w:cs="仿宋"/>
          <w:b/>
          <w:color w:val="000000" w:themeColor="text1"/>
          <w:sz w:val="32"/>
          <w:szCs w:val="32"/>
          <w:lang w:val="en-US" w:eastAsia="zh-CN"/>
          <w14:textFill>
            <w14:solidFill>
              <w14:schemeClr w14:val="tx1"/>
            </w14:solidFill>
          </w14:textFill>
        </w:rPr>
      </w:pPr>
      <w:r>
        <w:rPr>
          <w:rFonts w:hint="eastAsia" w:ascii="仿宋" w:hAnsi="仿宋" w:eastAsia="仿宋" w:cs="仿宋"/>
          <w:b/>
          <w:color w:val="000000" w:themeColor="text1"/>
          <w:sz w:val="32"/>
          <w:szCs w:val="32"/>
          <w:lang w:val="en-US" w:eastAsia="zh-CN"/>
          <w14:textFill>
            <w14:solidFill>
              <w14:schemeClr w14:val="tx1"/>
            </w14:solidFill>
          </w14:textFill>
        </w:rPr>
        <w:t>2022年我局政府信息公开工作取得了一定成效，但也存在不足之处：一是政府信息公开质量有待进一步提升；二是政务公开平台协调机制有待进一步完善。</w:t>
      </w:r>
    </w:p>
    <w:p>
      <w:pPr>
        <w:keepNext w:val="0"/>
        <w:keepLines w:val="0"/>
        <w:pageBreakBefore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 w:hAnsi="仿宋" w:eastAsia="仿宋" w:cs="仿宋"/>
          <w:b/>
          <w:sz w:val="32"/>
          <w:szCs w:val="32"/>
        </w:rPr>
      </w:pPr>
      <w:r>
        <w:rPr>
          <w:rFonts w:hint="eastAsia" w:ascii="仿宋" w:hAnsi="仿宋" w:eastAsia="仿宋" w:cs="仿宋"/>
          <w:b/>
          <w:color w:val="000000" w:themeColor="text1"/>
          <w:sz w:val="32"/>
          <w:szCs w:val="32"/>
          <w:lang w:val="en-US" w:eastAsia="zh-CN"/>
          <w14:textFill>
            <w14:solidFill>
              <w14:schemeClr w14:val="tx1"/>
            </w14:solidFill>
          </w14:textFill>
        </w:rPr>
        <w:t>针对以上问题，我局采取以下措施优化改进：</w:t>
      </w:r>
      <w:r>
        <w:rPr>
          <w:rStyle w:val="6"/>
          <w:rFonts w:hint="eastAsia" w:ascii="仿宋" w:hAnsi="仿宋" w:eastAsia="仿宋" w:cs="仿宋"/>
          <w:i w:val="0"/>
          <w:iCs w:val="0"/>
          <w:caps w:val="0"/>
          <w:color w:val="333333"/>
          <w:spacing w:val="0"/>
          <w:sz w:val="31"/>
          <w:szCs w:val="31"/>
        </w:rPr>
        <w:t>一是强化学习培训，提升业务水平。定期召开政务公开会议及培训班，认真学习《政府信息公开条例》精神和内涵，努力增强政务公开工作的自觉性和主动性。指导局机关各科室做好主动公开、依申请公开以及保密等各项工作，提升对政务公开工作的理解、认识、衔接、运用和落实能力</w:t>
      </w:r>
      <w:r>
        <w:rPr>
          <w:rFonts w:hint="eastAsia" w:ascii="仿宋" w:hAnsi="仿宋" w:eastAsia="仿宋" w:cs="仿宋"/>
          <w:b/>
          <w:color w:val="000000" w:themeColor="text1"/>
          <w:sz w:val="32"/>
          <w:szCs w:val="32"/>
          <w:lang w:val="en-US" w:eastAsia="zh-CN"/>
          <w14:textFill>
            <w14:solidFill>
              <w14:schemeClr w14:val="tx1"/>
            </w14:solidFill>
          </w14:textFill>
        </w:rPr>
        <w:t>；二是统筹协调政务公开平台，充分整合公开资源，发挥政府网站和政务新媒体等公开渠道的合力作用。</w:t>
      </w:r>
    </w:p>
    <w:p>
      <w:pPr>
        <w:keepNext w:val="0"/>
        <w:keepLines w:val="0"/>
        <w:pageBreakBefore w:val="0"/>
        <w:kinsoku/>
        <w:wordWrap/>
        <w:overflowPunct/>
        <w:topLinePunct w:val="0"/>
        <w:autoSpaceDE/>
        <w:autoSpaceDN/>
        <w:bidi w:val="0"/>
        <w:adjustRightInd/>
        <w:snapToGrid/>
        <w:spacing w:line="600" w:lineRule="exact"/>
        <w:ind w:right="0" w:rightChars="0"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rPr>
        <w:t>六、其他需要报告的事项</w:t>
      </w:r>
    </w:p>
    <w:p>
      <w:pPr>
        <w:keepNext w:val="0"/>
        <w:keepLines w:val="0"/>
        <w:pageBreakBefore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 w:hAnsi="仿宋" w:eastAsia="仿宋" w:cs="仿宋"/>
          <w:b/>
          <w:sz w:val="32"/>
          <w:szCs w:val="32"/>
          <w:lang w:val="en-US" w:eastAsia="zh-CN"/>
        </w:rPr>
      </w:pPr>
      <w:r>
        <w:rPr>
          <w:rFonts w:hint="eastAsia" w:ascii="楷体" w:hAnsi="楷体" w:eastAsia="楷体" w:cs="楷体"/>
          <w:b/>
          <w:sz w:val="32"/>
          <w:szCs w:val="32"/>
          <w:lang w:val="en-US" w:eastAsia="zh-CN"/>
        </w:rPr>
        <w:t xml:space="preserve"> </w:t>
      </w:r>
      <w:r>
        <w:rPr>
          <w:rFonts w:hint="default" w:ascii="楷体" w:hAnsi="楷体" w:eastAsia="楷体" w:cs="楷体"/>
          <w:b/>
          <w:sz w:val="32"/>
          <w:szCs w:val="32"/>
        </w:rPr>
        <w:t>（一）收取信息处理费的情况</w:t>
      </w:r>
      <w:r>
        <w:rPr>
          <w:rFonts w:hint="eastAsia" w:ascii="楷体" w:hAnsi="楷体" w:eastAsia="楷体" w:cs="楷体"/>
          <w:b/>
          <w:sz w:val="32"/>
          <w:szCs w:val="32"/>
          <w:lang w:eastAsia="zh-CN"/>
        </w:rPr>
        <w:t>。</w:t>
      </w:r>
      <w:r>
        <w:rPr>
          <w:rFonts w:hint="eastAsia" w:ascii="仿宋" w:hAnsi="仿宋" w:eastAsia="仿宋" w:cs="仿宋"/>
          <w:b/>
          <w:sz w:val="32"/>
          <w:szCs w:val="32"/>
          <w:lang w:val="en-US" w:eastAsia="zh-CN"/>
        </w:rPr>
        <w:t>2022年度未收取政府信息公开处理费用。</w:t>
      </w:r>
    </w:p>
    <w:p>
      <w:pPr>
        <w:keepNext w:val="0"/>
        <w:keepLines w:val="0"/>
        <w:pageBreakBefore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 xml:space="preserve"> </w:t>
      </w:r>
      <w:r>
        <w:rPr>
          <w:rFonts w:hint="eastAsia" w:ascii="楷体" w:hAnsi="楷体" w:eastAsia="楷体" w:cs="楷体"/>
          <w:b/>
          <w:sz w:val="32"/>
          <w:szCs w:val="32"/>
          <w:lang w:val="en-US" w:eastAsia="zh-CN"/>
        </w:rPr>
        <w:t>（二）落实上级年度政务公开工作要点情况。</w:t>
      </w:r>
      <w:r>
        <w:rPr>
          <w:rFonts w:hint="eastAsia" w:ascii="仿宋" w:hAnsi="仿宋" w:eastAsia="仿宋" w:cs="仿宋"/>
          <w:b/>
          <w:sz w:val="32"/>
          <w:szCs w:val="32"/>
          <w:lang w:val="en-US" w:eastAsia="zh-CN"/>
        </w:rPr>
        <w:t>结合财政工作实际，深入贯彻我市2022年度政务公开工作要点，把推进政务公开工作列入重要议事日程，与财政工作同研究、同部署、同推进，着力加强公开解读回应工作，着力围绕重点工作公开，着力推进政务公开制度化规范化，确保年度政务公开各项工作任务落实到位。</w:t>
      </w:r>
    </w:p>
    <w:p>
      <w:pPr>
        <w:keepNext w:val="0"/>
        <w:keepLines w:val="0"/>
        <w:pageBreakBefore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 w:hAnsi="仿宋" w:eastAsia="仿宋" w:cs="仿宋"/>
          <w:b/>
          <w:sz w:val="32"/>
          <w:szCs w:val="32"/>
          <w:lang w:val="en-US" w:eastAsia="zh-CN"/>
        </w:rPr>
      </w:pPr>
      <w:r>
        <w:rPr>
          <w:rFonts w:hint="eastAsia" w:ascii="楷体" w:hAnsi="楷体" w:eastAsia="楷体" w:cs="楷体"/>
          <w:b/>
          <w:sz w:val="32"/>
          <w:szCs w:val="32"/>
          <w:lang w:val="en-US" w:eastAsia="zh-CN"/>
        </w:rPr>
        <w:t>（三）人</w:t>
      </w:r>
      <w:r>
        <w:rPr>
          <w:rFonts w:hint="default" w:ascii="楷体" w:hAnsi="楷体" w:eastAsia="楷体" w:cs="楷体"/>
          <w:b/>
          <w:sz w:val="32"/>
          <w:szCs w:val="32"/>
          <w:lang w:val="en-US" w:eastAsia="zh-CN"/>
        </w:rPr>
        <w:t>大代表建议和政协提案办理结果公开情况</w:t>
      </w:r>
      <w:r>
        <w:rPr>
          <w:rFonts w:hint="eastAsia" w:ascii="楷体" w:hAnsi="楷体" w:eastAsia="楷体" w:cs="楷体"/>
          <w:b/>
          <w:sz w:val="32"/>
          <w:szCs w:val="32"/>
          <w:lang w:val="en-US" w:eastAsia="zh-CN"/>
        </w:rPr>
        <w:t>。</w:t>
      </w:r>
      <w:r>
        <w:rPr>
          <w:rFonts w:hint="eastAsia" w:ascii="仿宋" w:hAnsi="仿宋" w:eastAsia="仿宋" w:cs="仿宋"/>
          <w:b/>
          <w:sz w:val="32"/>
          <w:szCs w:val="32"/>
          <w:lang w:val="en-US" w:eastAsia="zh-CN"/>
        </w:rPr>
        <w:t>2022年度共发布人大代表建议、政协提案回复10件。其中，我局共收到人大代表建议6件（均为主办）；共收到政协提案4件（均为主办），均按要求进行了公开。</w:t>
      </w:r>
    </w:p>
    <w:p>
      <w:pPr>
        <w:keepNext w:val="0"/>
        <w:keepLines w:val="0"/>
        <w:pageBreakBefore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drawing>
          <wp:anchor distT="0" distB="0" distL="114300" distR="114300" simplePos="0" relativeHeight="251659264" behindDoc="0" locked="0" layoutInCell="1" allowOverlap="1">
            <wp:simplePos x="0" y="0"/>
            <wp:positionH relativeFrom="column">
              <wp:posOffset>760095</wp:posOffset>
            </wp:positionH>
            <wp:positionV relativeFrom="paragraph">
              <wp:posOffset>238125</wp:posOffset>
            </wp:positionV>
            <wp:extent cx="4057650" cy="3328670"/>
            <wp:effectExtent l="5080" t="4445" r="13970" b="1968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keepNext w:val="0"/>
        <w:keepLines w:val="0"/>
        <w:pageBreakBefore w:val="0"/>
        <w:kinsoku/>
        <w:wordWrap/>
        <w:overflowPunct/>
        <w:topLinePunct w:val="0"/>
        <w:autoSpaceDE/>
        <w:autoSpaceDN/>
        <w:bidi w:val="0"/>
        <w:adjustRightInd/>
        <w:snapToGrid/>
        <w:spacing w:line="600" w:lineRule="exact"/>
        <w:ind w:right="0" w:rightChars="0" w:firstLine="643" w:firstLineChars="200"/>
        <w:textAlignment w:val="auto"/>
        <w:rPr>
          <w:rFonts w:hint="eastAsia" w:ascii="仿宋" w:hAnsi="仿宋" w:eastAsia="仿宋" w:cs="仿宋"/>
          <w:b/>
          <w:sz w:val="32"/>
          <w:szCs w:val="32"/>
          <w:lang w:val="en-US" w:eastAsia="zh-CN"/>
        </w:rPr>
      </w:pPr>
    </w:p>
    <w:p>
      <w:pPr>
        <w:pStyle w:val="2"/>
        <w:rPr>
          <w:rFonts w:hint="eastAsia"/>
          <w:lang w:val="en-US" w:eastAsia="zh-CN"/>
        </w:rPr>
      </w:pPr>
    </w:p>
    <w:p>
      <w:pPr>
        <w:pStyle w:val="2"/>
        <w:ind w:firstLine="643" w:firstLineChars="200"/>
        <w:jc w:val="both"/>
        <w:rPr>
          <w:rFonts w:hint="eastAsia" w:ascii="仿宋" w:hAnsi="仿宋" w:eastAsia="仿宋" w:cs="仿宋"/>
          <w:b/>
          <w:color w:val="auto"/>
          <w:kern w:val="2"/>
          <w:sz w:val="32"/>
          <w:szCs w:val="32"/>
          <w:u w:val="none"/>
          <w:lang w:val="en-US" w:eastAsia="zh-CN" w:bidi="ar-SA"/>
        </w:rPr>
      </w:pPr>
      <w:r>
        <w:rPr>
          <w:rFonts w:hint="eastAsia" w:ascii="楷体" w:hAnsi="楷体" w:eastAsia="楷体" w:cs="楷体"/>
          <w:b/>
          <w:kern w:val="2"/>
          <w:sz w:val="32"/>
          <w:szCs w:val="32"/>
          <w:lang w:val="en-US" w:eastAsia="zh-CN" w:bidi="ar-SA"/>
        </w:rPr>
        <w:t>（四）县财政局</w:t>
      </w:r>
      <w:bookmarkStart w:id="0" w:name="_GoBack"/>
      <w:bookmarkEnd w:id="0"/>
      <w:r>
        <w:rPr>
          <w:rFonts w:hint="eastAsia" w:ascii="楷体" w:hAnsi="楷体" w:eastAsia="楷体" w:cs="楷体"/>
          <w:b/>
          <w:kern w:val="2"/>
          <w:sz w:val="32"/>
          <w:szCs w:val="32"/>
          <w:lang w:val="en-US" w:eastAsia="zh-CN" w:bidi="ar-SA"/>
        </w:rPr>
        <w:t>本年度政务公开工作创新情况。</w:t>
      </w:r>
      <w:r>
        <w:rPr>
          <w:rFonts w:hint="eastAsia" w:ascii="仿宋" w:hAnsi="仿宋" w:eastAsia="仿宋" w:cs="仿宋"/>
          <w:b/>
          <w:color w:val="auto"/>
          <w:kern w:val="2"/>
          <w:sz w:val="32"/>
          <w:szCs w:val="32"/>
          <w:u w:val="none"/>
          <w:lang w:val="en-US" w:eastAsia="zh-CN" w:bidi="ar-SA"/>
        </w:rPr>
        <w:t>县财政局建立</w:t>
      </w:r>
      <w:r>
        <w:rPr>
          <w:rFonts w:hint="default" w:ascii="仿宋" w:hAnsi="仿宋" w:eastAsia="仿宋" w:cs="仿宋"/>
          <w:b/>
          <w:color w:val="auto"/>
          <w:kern w:val="2"/>
          <w:sz w:val="32"/>
          <w:szCs w:val="32"/>
          <w:u w:val="none"/>
          <w:lang w:val="en-US" w:eastAsia="zh-CN" w:bidi="ar-SA"/>
        </w:rPr>
        <w:t>创新大数据监管</w:t>
      </w:r>
      <w:r>
        <w:rPr>
          <w:rFonts w:hint="eastAsia" w:ascii="仿宋" w:hAnsi="仿宋" w:eastAsia="仿宋" w:cs="仿宋"/>
          <w:b/>
          <w:color w:val="auto"/>
          <w:kern w:val="2"/>
          <w:sz w:val="32"/>
          <w:szCs w:val="32"/>
          <w:u w:val="none"/>
          <w:lang w:val="en-US" w:eastAsia="zh-CN" w:bidi="ar-SA"/>
        </w:rPr>
        <w:t>平台。县财政局始终高度重视营商环境稳经济、促发展的重要作用，聚力政府采购监管效率提升，不断创新运用大数据、互联网、人工智能等信息化手段，实现政府采购全周期、全流程电子化和上下级一体化管理，极大方便了供应商办事，切实增强市场主体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楷体" w:hAnsi="楷体" w:eastAsia="楷体" w:cs="楷体"/>
          <w:b/>
          <w:kern w:val="2"/>
          <w:sz w:val="32"/>
          <w:szCs w:val="32"/>
          <w:lang w:val="en-US" w:eastAsia="zh-CN" w:bidi="ar-SA"/>
        </w:rPr>
      </w:pPr>
      <w:r>
        <w:rPr>
          <w:rFonts w:hint="eastAsia" w:ascii="楷体" w:hAnsi="楷体" w:eastAsia="楷体" w:cs="楷体"/>
          <w:b/>
          <w:kern w:val="2"/>
          <w:sz w:val="32"/>
          <w:szCs w:val="32"/>
          <w:lang w:val="en-US" w:eastAsia="zh-CN" w:bidi="ar-SA"/>
        </w:rPr>
        <w:t>（五）县财政局本年度政府信息公开工作年度报告数据统计无需要说明的事项。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1"/>
        <w:jc w:val="both"/>
        <w:textAlignment w:val="auto"/>
        <w:rPr>
          <w:rFonts w:hint="eastAsia" w:ascii="楷体" w:hAnsi="楷体" w:eastAsia="楷体" w:cs="楷体"/>
          <w:b/>
          <w:kern w:val="2"/>
          <w:sz w:val="32"/>
          <w:szCs w:val="32"/>
          <w:lang w:val="en-US" w:eastAsia="zh-CN" w:bidi="ar-SA"/>
        </w:rPr>
      </w:pPr>
      <w:r>
        <w:rPr>
          <w:rFonts w:hint="eastAsia" w:ascii="楷体" w:hAnsi="楷体" w:eastAsia="楷体" w:cs="楷体"/>
          <w:b/>
          <w:kern w:val="2"/>
          <w:sz w:val="32"/>
          <w:szCs w:val="32"/>
          <w:lang w:val="en-US" w:eastAsia="zh-CN" w:bidi="ar-SA"/>
        </w:rPr>
        <w:t>（六）县财政局认为需要报告的其他事项：</w:t>
      </w:r>
      <w:r>
        <w:rPr>
          <w:rFonts w:hint="eastAsia" w:ascii="仿宋" w:hAnsi="仿宋" w:eastAsia="仿宋" w:cs="仿宋"/>
          <w:b/>
          <w:kern w:val="2"/>
          <w:sz w:val="32"/>
          <w:szCs w:val="32"/>
          <w:lang w:val="en-US" w:eastAsia="zh-CN" w:bidi="ar-SA"/>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1"/>
        <w:jc w:val="both"/>
        <w:textAlignment w:val="auto"/>
        <w:rPr>
          <w:rFonts w:hint="eastAsia" w:ascii="楷体" w:hAnsi="楷体" w:eastAsia="楷体" w:cs="楷体"/>
          <w:b/>
          <w:kern w:val="2"/>
          <w:sz w:val="32"/>
          <w:szCs w:val="32"/>
          <w:lang w:val="en-US" w:eastAsia="zh-CN" w:bidi="ar-SA"/>
        </w:rPr>
      </w:pPr>
      <w:r>
        <w:rPr>
          <w:rFonts w:hint="eastAsia" w:ascii="楷体" w:hAnsi="楷体" w:eastAsia="楷体" w:cs="楷体"/>
          <w:b/>
          <w:kern w:val="2"/>
          <w:sz w:val="32"/>
          <w:szCs w:val="32"/>
          <w:lang w:val="en-US" w:eastAsia="zh-CN" w:bidi="ar-SA"/>
        </w:rPr>
        <w:t>（七）其他有关文件专门要求通过政府信息公开工作年度报告予以报告的事项：</w:t>
      </w:r>
      <w:r>
        <w:rPr>
          <w:rFonts w:hint="eastAsia" w:ascii="仿宋" w:hAnsi="仿宋" w:eastAsia="仿宋" w:cs="仿宋"/>
          <w:b/>
          <w:kern w:val="2"/>
          <w:sz w:val="32"/>
          <w:szCs w:val="32"/>
          <w:lang w:val="en-US" w:eastAsia="zh-CN" w:bidi="ar-SA"/>
        </w:rPr>
        <w:t>无。</w:t>
      </w:r>
    </w:p>
    <w:p>
      <w:pPr>
        <w:rPr>
          <w:rFonts w:hint="default" w:eastAsia="宋体"/>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hZGY1ZjdjNTBmZjU1Njc0NTQ2MjMwMDQ4YjllNmYifQ=="/>
  </w:docVars>
  <w:rsids>
    <w:rsidRoot w:val="2DF93F5B"/>
    <w:rsid w:val="016F50C8"/>
    <w:rsid w:val="0FE52C42"/>
    <w:rsid w:val="105F014B"/>
    <w:rsid w:val="11C41B5D"/>
    <w:rsid w:val="124F5AB1"/>
    <w:rsid w:val="1E0A7E55"/>
    <w:rsid w:val="269A2DAD"/>
    <w:rsid w:val="2DF93F5B"/>
    <w:rsid w:val="2E300967"/>
    <w:rsid w:val="36E63943"/>
    <w:rsid w:val="3F0B58E4"/>
    <w:rsid w:val="48EB1D78"/>
    <w:rsid w:val="5079410E"/>
    <w:rsid w:val="55D42262"/>
    <w:rsid w:val="594F040C"/>
    <w:rsid w:val="5CC71DD7"/>
    <w:rsid w:val="62C765F0"/>
    <w:rsid w:val="719B7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note text"/>
    <w:basedOn w:val="1"/>
    <w:qFormat/>
    <w:uiPriority w:val="0"/>
    <w:pPr>
      <w:widowControl w:val="0"/>
      <w:snapToGrid w:val="0"/>
      <w:spacing w:line="240" w:lineRule="auto"/>
      <w:jc w:val="left"/>
      <w:textAlignment w:val="auto"/>
    </w:pPr>
    <w:rPr>
      <w:rFonts w:ascii="Calibri" w:hAnsi="Calibri"/>
      <w:color w:val="auto"/>
      <w:kern w:val="2"/>
      <w:sz w:val="18"/>
      <w:szCs w:val="18"/>
      <w:u w:val="none" w:color="auto"/>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件数</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人大代表建议</c:v>
                </c:pt>
                <c:pt idx="1">
                  <c:v>政协提案回复</c:v>
                </c:pt>
              </c:strCache>
            </c:strRef>
          </c:cat>
          <c:val>
            <c:numRef>
              <c:f>Sheet1!$B$2:$B$3</c:f>
              <c:numCache>
                <c:formatCode>General</c:formatCode>
                <c:ptCount val="2"/>
                <c:pt idx="0">
                  <c:v>6</c:v>
                </c:pt>
                <c:pt idx="1">
                  <c:v>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2745</Words>
  <Characters>2897</Characters>
  <Lines>0</Lines>
  <Paragraphs>0</Paragraphs>
  <TotalTime>43</TotalTime>
  <ScaleCrop>false</ScaleCrop>
  <LinksUpToDate>false</LinksUpToDate>
  <CharactersWithSpaces>2908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2023-01-28T03:06:00Z</dcterms:created>
  <dc:creator>sweet potato</dc:creator>
  <cp:lastModifiedBy>Administrator</cp:lastModifiedBy>
  <dcterms:modified xsi:type="dcterms:W3CDTF">2025-03-24T07:37:24Z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F8F898FD9F0B47238673B13E70A6A5AA</vt:lpwstr>
  </property>
</Properties>
</file>